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8C4" w:rsidRPr="008D12D7" w:rsidRDefault="00EF3292">
      <w:pPr>
        <w:pStyle w:val="Titre"/>
        <w:rPr>
          <w:color w:val="auto"/>
        </w:rPr>
      </w:pPr>
      <w:r w:rsidRPr="008D12D7">
        <w:rPr>
          <w:color w:val="auto"/>
        </w:rPr>
        <w:t xml:space="preserve">Document </w:t>
      </w:r>
      <w:r w:rsidR="008D12D7" w:rsidRPr="008D12D7">
        <w:rPr>
          <w:color w:val="auto"/>
        </w:rPr>
        <w:t>d'information</w:t>
      </w:r>
      <w:r w:rsidRPr="008D12D7">
        <w:rPr>
          <w:color w:val="auto"/>
        </w:rPr>
        <w:t xml:space="preserve"> Synthétique</w:t>
      </w:r>
    </w:p>
    <w:p w:rsidR="006858C4" w:rsidRPr="008D12D7" w:rsidRDefault="00EF3292">
      <w:pPr>
        <w:pStyle w:val="Titre"/>
        <w:rPr>
          <w:color w:val="auto"/>
        </w:rPr>
      </w:pPr>
      <w:r w:rsidRPr="008D12D7">
        <w:rPr>
          <w:color w:val="auto"/>
          <w:sz w:val="24"/>
          <w:szCs w:val="24"/>
        </w:rPr>
        <w:t xml:space="preserve">Offre ouverte au public </w:t>
      </w:r>
      <w:r w:rsidR="008D12D7" w:rsidRPr="008D12D7">
        <w:rPr>
          <w:color w:val="auto"/>
          <w:sz w:val="24"/>
          <w:szCs w:val="24"/>
        </w:rPr>
        <w:t>d'un</w:t>
      </w:r>
      <w:r w:rsidRPr="008D12D7">
        <w:rPr>
          <w:color w:val="auto"/>
          <w:sz w:val="24"/>
          <w:szCs w:val="24"/>
        </w:rPr>
        <w:t xml:space="preserve"> montant inférieur à 8 millions </w:t>
      </w:r>
      <w:r w:rsidR="008D12D7" w:rsidRPr="008D12D7">
        <w:rPr>
          <w:color w:val="auto"/>
          <w:sz w:val="24"/>
          <w:szCs w:val="24"/>
        </w:rPr>
        <w:t>d'Euros</w:t>
      </w:r>
    </w:p>
    <w:p w:rsidR="006858C4" w:rsidRPr="008D12D7" w:rsidRDefault="006858C4">
      <w:pPr>
        <w:pStyle w:val="Standard"/>
      </w:pPr>
    </w:p>
    <w:p w:rsidR="006858C4" w:rsidRPr="008D12D7" w:rsidRDefault="006858C4">
      <w:pPr>
        <w:pStyle w:val="Standard"/>
      </w:pPr>
    </w:p>
    <w:p w:rsidR="006858C4" w:rsidRPr="008D12D7" w:rsidRDefault="00EF3292">
      <w:pPr>
        <w:pStyle w:val="Titre"/>
        <w:rPr>
          <w:color w:val="auto"/>
        </w:rPr>
      </w:pPr>
      <w:bookmarkStart w:id="0" w:name="_mpadwjkrfwdn"/>
      <w:bookmarkEnd w:id="0"/>
      <w:r w:rsidRPr="008D12D7">
        <w:rPr>
          <w:color w:val="auto"/>
        </w:rPr>
        <w:t xml:space="preserve">Présentation de </w:t>
      </w:r>
      <w:r w:rsidR="008D12D7" w:rsidRPr="008D12D7">
        <w:rPr>
          <w:color w:val="auto"/>
        </w:rPr>
        <w:t>l'émetteur</w:t>
      </w:r>
      <w:r w:rsidRPr="008D12D7">
        <w:rPr>
          <w:color w:val="auto"/>
        </w:rPr>
        <w:t xml:space="preserve"> en date du </w:t>
      </w:r>
      <w:r w:rsidR="003A7F21" w:rsidRPr="008D12D7">
        <w:rPr>
          <w:color w:val="auto"/>
        </w:rPr>
        <w:t>09/06/2020</w:t>
      </w:r>
    </w:p>
    <w:p w:rsidR="006858C4" w:rsidRDefault="006858C4">
      <w:pPr>
        <w:pStyle w:val="Standard"/>
      </w:pPr>
    </w:p>
    <w:p w:rsidR="006858C4" w:rsidRDefault="006858C4">
      <w:pPr>
        <w:pStyle w:val="Standard"/>
      </w:pPr>
    </w:p>
    <w:p w:rsidR="006858C4" w:rsidRDefault="00E85E76">
      <w:pPr>
        <w:pStyle w:val="Standard"/>
        <w:jc w:val="center"/>
      </w:pPr>
      <w:r>
        <w:rPr>
          <w:noProof/>
          <w:lang w:eastAsia="fr-FR" w:bidi="ar-SA"/>
        </w:rPr>
        <w:drawing>
          <wp:inline distT="0" distB="0" distL="0" distR="0">
            <wp:extent cx="1733550" cy="115351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ea avec baseline H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3367" cy="1160045"/>
                    </a:xfrm>
                    <a:prstGeom prst="rect">
                      <a:avLst/>
                    </a:prstGeom>
                  </pic:spPr>
                </pic:pic>
              </a:graphicData>
            </a:graphic>
          </wp:inline>
        </w:drawing>
      </w:r>
    </w:p>
    <w:p w:rsidR="006858C4" w:rsidRDefault="00B5753A">
      <w:pPr>
        <w:pStyle w:val="Standard"/>
        <w:jc w:val="center"/>
      </w:pPr>
      <w:r w:rsidRPr="00327B0A">
        <w:t>Initiative</w:t>
      </w:r>
      <w:r w:rsidR="003A7F21" w:rsidRPr="00327B0A">
        <w:t xml:space="preserve"> Citoyenne pour une Energie Alternative</w:t>
      </w:r>
    </w:p>
    <w:p w:rsidR="006858C4" w:rsidRDefault="006858C4">
      <w:pPr>
        <w:pStyle w:val="Standard"/>
        <w:jc w:val="center"/>
      </w:pPr>
    </w:p>
    <w:p w:rsidR="007C2ED7" w:rsidRDefault="00EF3292">
      <w:pPr>
        <w:pStyle w:val="Standard"/>
        <w:jc w:val="center"/>
      </w:pPr>
      <w:r w:rsidRPr="00327B0A">
        <w:t>SCIC SAS</w:t>
      </w:r>
      <w:r>
        <w:t xml:space="preserve"> à capital variable</w:t>
      </w:r>
    </w:p>
    <w:p w:rsidR="007C2ED7" w:rsidRDefault="007C2ED7">
      <w:pPr>
        <w:pStyle w:val="Standard"/>
        <w:jc w:val="center"/>
      </w:pPr>
      <w:r>
        <w:t>815 la pyrénéenne – le prologue</w:t>
      </w:r>
    </w:p>
    <w:p w:rsidR="006858C4" w:rsidRDefault="007C2ED7">
      <w:pPr>
        <w:pStyle w:val="Standard"/>
        <w:jc w:val="center"/>
      </w:pPr>
      <w:r>
        <w:t xml:space="preserve">31670 Labège </w:t>
      </w:r>
    </w:p>
    <w:p w:rsidR="006858C4" w:rsidRDefault="0099340E">
      <w:pPr>
        <w:pStyle w:val="Standard"/>
        <w:jc w:val="center"/>
      </w:pPr>
      <w:r w:rsidRPr="00327B0A">
        <w:t>822 429 486  RCS Toulouse</w:t>
      </w:r>
    </w:p>
    <w:p w:rsidR="006858C4" w:rsidRDefault="006858C4">
      <w:pPr>
        <w:pStyle w:val="Standard"/>
        <w:jc w:val="center"/>
      </w:pPr>
    </w:p>
    <w:p w:rsidR="006858C4" w:rsidRDefault="006858C4">
      <w:pPr>
        <w:pStyle w:val="Standard"/>
        <w:jc w:val="left"/>
      </w:pPr>
    </w:p>
    <w:p w:rsidR="006858C4" w:rsidRDefault="006858C4">
      <w:pPr>
        <w:pStyle w:val="Standard"/>
        <w:jc w:val="center"/>
      </w:pPr>
    </w:p>
    <w:p w:rsidR="006858C4" w:rsidRDefault="00EF3292">
      <w:pPr>
        <w:pStyle w:val="Standard"/>
      </w:pPr>
      <w:r>
        <w:rPr>
          <w:i/>
        </w:rPr>
        <w:t xml:space="preserve">Les investisseurs sont informés que la présente offre de titres financiers ne donne pas lieu à un prospectus soumis au visa de </w:t>
      </w:r>
      <w:r w:rsidR="00327B0A">
        <w:rPr>
          <w:i/>
        </w:rPr>
        <w:t>l'autorité</w:t>
      </w:r>
      <w:r>
        <w:rPr>
          <w:i/>
        </w:rPr>
        <w:t xml:space="preserve"> des marchés financiers et ne répond pas aux exigences </w:t>
      </w:r>
      <w:r w:rsidR="00327B0A">
        <w:rPr>
          <w:i/>
        </w:rPr>
        <w:t>d'une</w:t>
      </w:r>
      <w:r>
        <w:rPr>
          <w:i/>
        </w:rPr>
        <w:t xml:space="preserve"> offre de financement participatif au sens du règlement général de </w:t>
      </w:r>
      <w:r w:rsidR="00327B0A">
        <w:rPr>
          <w:i/>
        </w:rPr>
        <w:t>l'autorité</w:t>
      </w:r>
      <w:r>
        <w:rPr>
          <w:i/>
        </w:rPr>
        <w:t xml:space="preserve"> des marchés financiers.</w:t>
      </w:r>
    </w:p>
    <w:p w:rsidR="006858C4" w:rsidRDefault="006858C4">
      <w:pPr>
        <w:pStyle w:val="Standard"/>
        <w:rPr>
          <w:b/>
          <w:i/>
        </w:rPr>
      </w:pPr>
    </w:p>
    <w:p w:rsidR="006858C4" w:rsidRDefault="006858C4">
      <w:pPr>
        <w:pStyle w:val="Standard"/>
        <w:rPr>
          <w:b/>
          <w:i/>
        </w:rPr>
      </w:pPr>
    </w:p>
    <w:p w:rsidR="006858C4" w:rsidRDefault="00EF3292">
      <w:pPr>
        <w:pStyle w:val="Standard"/>
      </w:pPr>
      <w:r>
        <w:rPr>
          <w:b/>
        </w:rPr>
        <w:t>Légende :</w:t>
      </w:r>
    </w:p>
    <w:p w:rsidR="006858C4" w:rsidRDefault="00EF3292">
      <w:pPr>
        <w:pStyle w:val="Standard"/>
        <w:numPr>
          <w:ilvl w:val="0"/>
          <w:numId w:val="11"/>
        </w:numPr>
      </w:pPr>
      <w:r>
        <w:rPr>
          <w:shd w:val="clear" w:color="auto" w:fill="FFE599"/>
        </w:rPr>
        <w:t>Surligné en jaune : les mentions à modifier ou remplacer</w:t>
      </w:r>
    </w:p>
    <w:p w:rsidR="006858C4" w:rsidRDefault="00EF3292">
      <w:pPr>
        <w:pStyle w:val="Standard"/>
        <w:numPr>
          <w:ilvl w:val="0"/>
          <w:numId w:val="9"/>
        </w:numPr>
      </w:pPr>
      <w:r>
        <w:rPr>
          <w:shd w:val="clear" w:color="auto" w:fill="CFE2F3"/>
        </w:rPr>
        <w:t xml:space="preserve">Surligné en bleu : les </w:t>
      </w:r>
      <w:r>
        <w:rPr>
          <w:b/>
          <w:shd w:val="clear" w:color="auto" w:fill="CFE2F3"/>
        </w:rPr>
        <w:t>options</w:t>
      </w:r>
      <w:r>
        <w:rPr>
          <w:shd w:val="clear" w:color="auto" w:fill="CFE2F3"/>
        </w:rPr>
        <w:t xml:space="preserve"> entre lesquelles choisir ou à supprimer</w:t>
      </w:r>
    </w:p>
    <w:p w:rsidR="006858C4" w:rsidRDefault="00EF3292">
      <w:pPr>
        <w:pStyle w:val="Standard"/>
        <w:numPr>
          <w:ilvl w:val="0"/>
          <w:numId w:val="9"/>
        </w:numPr>
      </w:pPr>
      <w:r>
        <w:rPr>
          <w:i/>
        </w:rPr>
        <w:t>Noir italique : les mentions obligatoires issues du modèle AMF à conserver telles quelles (il faut parfois choisir entre différentes options).</w:t>
      </w:r>
    </w:p>
    <w:p w:rsidR="006858C4" w:rsidRDefault="00EF3292">
      <w:pPr>
        <w:pStyle w:val="Standard"/>
        <w:numPr>
          <w:ilvl w:val="0"/>
          <w:numId w:val="9"/>
        </w:numPr>
      </w:pPr>
      <w:r>
        <w:t xml:space="preserve">Noir “normal” : les mentions proposées par Energie Partagée, que vous pouvez conserver telles quelles ou modifier. </w:t>
      </w:r>
      <w:proofErr w:type="spellStart"/>
      <w:r>
        <w:rPr>
          <w:b/>
          <w:color w:val="6AA84F"/>
        </w:rPr>
        <w:t>Noubliez</w:t>
      </w:r>
      <w:proofErr w:type="spellEnd"/>
      <w:r>
        <w:rPr>
          <w:b/>
          <w:color w:val="6AA84F"/>
        </w:rPr>
        <w:t xml:space="preserve"> pas, vos améliorations intéressent les membres du réseau !</w:t>
      </w:r>
    </w:p>
    <w:p w:rsidR="006858C4" w:rsidRDefault="00EF3292">
      <w:pPr>
        <w:pStyle w:val="Standard"/>
        <w:numPr>
          <w:ilvl w:val="0"/>
          <w:numId w:val="9"/>
        </w:numPr>
        <w:spacing w:line="240" w:lineRule="auto"/>
      </w:pPr>
      <w:r>
        <w:rPr>
          <w:i/>
          <w:color w:val="0000FF"/>
          <w:u w:val="single"/>
        </w:rPr>
        <w:t xml:space="preserve">En bleu roi, italique et souligné, les liens hypertextes (à créer par vous) qui doivent renvoyer vers une page de votre site Internet comportant les éléments demandés. Si vous </w:t>
      </w:r>
      <w:proofErr w:type="spellStart"/>
      <w:r>
        <w:rPr>
          <w:i/>
          <w:color w:val="0000FF"/>
          <w:u w:val="single"/>
        </w:rPr>
        <w:t>nêtes</w:t>
      </w:r>
      <w:proofErr w:type="spellEnd"/>
      <w:r>
        <w:rPr>
          <w:i/>
          <w:color w:val="0000FF"/>
          <w:u w:val="single"/>
        </w:rPr>
        <w:t xml:space="preserve"> pas à </w:t>
      </w:r>
      <w:proofErr w:type="spellStart"/>
      <w:r>
        <w:rPr>
          <w:i/>
          <w:color w:val="0000FF"/>
          <w:u w:val="single"/>
        </w:rPr>
        <w:t>laise</w:t>
      </w:r>
      <w:proofErr w:type="spellEnd"/>
      <w:r>
        <w:rPr>
          <w:i/>
          <w:color w:val="0000FF"/>
          <w:u w:val="single"/>
        </w:rPr>
        <w:t xml:space="preserve"> avec ce fonctionnement, il vous est également possible de produire une version courte et une version longue de votre DIS</w:t>
      </w:r>
      <w:r>
        <w:t>.</w:t>
      </w:r>
    </w:p>
    <w:p w:rsidR="006858C4" w:rsidRDefault="00EF3292">
      <w:pPr>
        <w:pStyle w:val="Standard"/>
        <w:spacing w:before="40" w:line="240" w:lineRule="auto"/>
      </w:pPr>
      <w:r>
        <w:rPr>
          <w:b/>
        </w:rPr>
        <w:t xml:space="preserve">Retrouver </w:t>
      </w:r>
      <w:proofErr w:type="spellStart"/>
      <w:r>
        <w:rPr>
          <w:b/>
        </w:rPr>
        <w:t>lexplication</w:t>
      </w:r>
      <w:proofErr w:type="spellEnd"/>
      <w:r>
        <w:rPr>
          <w:b/>
        </w:rPr>
        <w:t xml:space="preserve"> qui vous guide dans la rédaction </w:t>
      </w:r>
      <w:hyperlink r:id="rId8" w:history="1">
        <w:r>
          <w:rPr>
            <w:b/>
            <w:color w:val="1155CC"/>
            <w:u w:val="single"/>
          </w:rPr>
          <w:t>sur cet article</w:t>
        </w:r>
      </w:hyperlink>
      <w:r>
        <w:rPr>
          <w:b/>
        </w:rPr>
        <w:t>.</w:t>
      </w:r>
    </w:p>
    <w:p w:rsidR="006858C4" w:rsidRDefault="00EF3292">
      <w:pPr>
        <w:pStyle w:val="Standard"/>
        <w:spacing w:before="40" w:line="240" w:lineRule="auto"/>
      </w:pPr>
      <w:r>
        <w:rPr>
          <w:b/>
        </w:rPr>
        <w:t xml:space="preserve">Retrouver le document “source” partagé, pour poser vos questions et proposer vos améliorations </w:t>
      </w:r>
      <w:hyperlink r:id="rId9" w:history="1">
        <w:r>
          <w:rPr>
            <w:b/>
            <w:color w:val="1155CC"/>
            <w:u w:val="single"/>
          </w:rPr>
          <w:t>ici</w:t>
        </w:r>
      </w:hyperlink>
      <w:r>
        <w:rPr>
          <w:b/>
        </w:rPr>
        <w:t>.</w:t>
      </w:r>
    </w:p>
    <w:p w:rsidR="006858C4" w:rsidRDefault="00EF3292">
      <w:pPr>
        <w:pStyle w:val="Standard"/>
      </w:pPr>
      <w:r>
        <w:rPr>
          <w:b/>
          <w:shd w:val="clear" w:color="auto" w:fill="FFE599"/>
        </w:rPr>
        <w:t>---------------</w:t>
      </w:r>
    </w:p>
    <w:p w:rsidR="00371F14" w:rsidRPr="00371F14" w:rsidRDefault="00371F14" w:rsidP="00371F14">
      <w:pPr>
        <w:suppressAutoHyphens w:val="0"/>
        <w:autoSpaceDE w:val="0"/>
        <w:adjustRightInd w:val="0"/>
        <w:jc w:val="left"/>
        <w:textAlignment w:val="auto"/>
        <w:rPr>
          <w:rFonts w:eastAsia="Calibri"/>
        </w:rPr>
      </w:pPr>
      <w:r w:rsidRPr="00371F14">
        <w:rPr>
          <w:rFonts w:eastAsia="Calibri"/>
        </w:rPr>
        <w:t>La souscription ou l</w:t>
      </w:r>
      <w:r w:rsidR="000A3220">
        <w:rPr>
          <w:rFonts w:eastAsia="Calibri" w:hint="eastAsia"/>
        </w:rPr>
        <w:t>'</w:t>
      </w:r>
      <w:r w:rsidRPr="00371F14">
        <w:rPr>
          <w:rFonts w:eastAsia="Calibri"/>
        </w:rPr>
        <w:t xml:space="preserve">acquisition de parts sociales de </w:t>
      </w:r>
      <w:r w:rsidR="001D5B26" w:rsidRPr="00371F14">
        <w:t>sociétés</w:t>
      </w:r>
      <w:r w:rsidRPr="00371F14">
        <w:rPr>
          <w:rFonts w:eastAsia="Calibri"/>
        </w:rPr>
        <w:t xml:space="preserve"> </w:t>
      </w:r>
      <w:r w:rsidR="001D5B26" w:rsidRPr="00371F14">
        <w:t>coopératives</w:t>
      </w:r>
      <w:r w:rsidR="000A3220">
        <w:rPr>
          <w:rFonts w:eastAsia="Calibri"/>
        </w:rPr>
        <w:t xml:space="preserve"> constitué</w:t>
      </w:r>
      <w:r w:rsidRPr="00371F14">
        <w:rPr>
          <w:rFonts w:eastAsia="Calibri"/>
        </w:rPr>
        <w:t xml:space="preserve">es sous forme de </w:t>
      </w:r>
      <w:r w:rsidR="00366AA8">
        <w:t xml:space="preserve">SCIC </w:t>
      </w:r>
      <w:r w:rsidRPr="00371F14">
        <w:rPr>
          <w:rFonts w:eastAsia="Calibri"/>
        </w:rPr>
        <w:t>SA</w:t>
      </w:r>
      <w:r w:rsidR="00366AA8">
        <w:t xml:space="preserve">S comporte des risques de perte </w:t>
      </w:r>
      <w:r w:rsidRPr="00371F14">
        <w:rPr>
          <w:rFonts w:eastAsia="Calibri"/>
        </w:rPr>
        <w:t>partielle ou totale de l</w:t>
      </w:r>
      <w:r w:rsidR="00366AA8">
        <w:rPr>
          <w:rFonts w:eastAsia="Calibri" w:hint="eastAsia"/>
        </w:rPr>
        <w:t>'</w:t>
      </w:r>
      <w:r w:rsidRPr="00371F14">
        <w:rPr>
          <w:rFonts w:eastAsia="Calibri"/>
        </w:rPr>
        <w:t>investissement.</w:t>
      </w:r>
    </w:p>
    <w:p w:rsidR="00371F14" w:rsidRPr="00371F14" w:rsidRDefault="00371F14" w:rsidP="00371F14">
      <w:pPr>
        <w:suppressAutoHyphens w:val="0"/>
        <w:autoSpaceDE w:val="0"/>
        <w:adjustRightInd w:val="0"/>
        <w:jc w:val="left"/>
        <w:textAlignment w:val="auto"/>
        <w:rPr>
          <w:rFonts w:eastAsia="Calibri"/>
        </w:rPr>
      </w:pPr>
      <w:r w:rsidRPr="00371F14">
        <w:rPr>
          <w:rFonts w:eastAsia="Calibri"/>
        </w:rPr>
        <w:lastRenderedPageBreak/>
        <w:t xml:space="preserve">Les parts sociales offertes au public ne sont pas des titres financiers ; les </w:t>
      </w:r>
      <w:r w:rsidR="001D5B26" w:rsidRPr="00371F14">
        <w:t>spécificités</w:t>
      </w:r>
      <w:r w:rsidRPr="00371F14">
        <w:rPr>
          <w:rFonts w:eastAsia="Calibri"/>
        </w:rPr>
        <w:t xml:space="preserve"> qui en d</w:t>
      </w:r>
      <w:r w:rsidR="000A3220">
        <w:rPr>
          <w:rFonts w:eastAsia="Calibri"/>
        </w:rPr>
        <w:t>é</w:t>
      </w:r>
      <w:r w:rsidRPr="00371F14">
        <w:rPr>
          <w:rFonts w:eastAsia="Calibri"/>
        </w:rPr>
        <w:t>coulent, ainsi que</w:t>
      </w:r>
      <w:r w:rsidR="000A3220">
        <w:rPr>
          <w:rFonts w:eastAsia="Calibri"/>
        </w:rPr>
        <w:t xml:space="preserve"> </w:t>
      </w:r>
      <w:r w:rsidRPr="00371F14">
        <w:rPr>
          <w:rFonts w:eastAsia="Calibri"/>
        </w:rPr>
        <w:t xml:space="preserve">les </w:t>
      </w:r>
      <w:r w:rsidR="001D5B26" w:rsidRPr="00371F14">
        <w:t>spécificités</w:t>
      </w:r>
      <w:r w:rsidRPr="00371F14">
        <w:rPr>
          <w:rFonts w:eastAsia="Calibri"/>
        </w:rPr>
        <w:t xml:space="preserve"> qui </w:t>
      </w:r>
      <w:r w:rsidR="001D5B26" w:rsidRPr="00371F14">
        <w:t>résultent</w:t>
      </w:r>
      <w:r w:rsidRPr="00371F14">
        <w:rPr>
          <w:rFonts w:eastAsia="Calibri"/>
        </w:rPr>
        <w:t xml:space="preserve"> du statut de </w:t>
      </w:r>
      <w:r w:rsidR="001D5B26" w:rsidRPr="00371F14">
        <w:t>coopérative</w:t>
      </w:r>
      <w:r w:rsidRPr="00371F14">
        <w:rPr>
          <w:rFonts w:eastAsia="Calibri"/>
        </w:rPr>
        <w:t xml:space="preserve"> de la </w:t>
      </w:r>
      <w:r w:rsidR="001D5B26" w:rsidRPr="00371F14">
        <w:t>société</w:t>
      </w:r>
      <w:r w:rsidRPr="00371F14">
        <w:rPr>
          <w:rFonts w:eastAsia="Calibri"/>
        </w:rPr>
        <w:t xml:space="preserve">, sont </w:t>
      </w:r>
      <w:r w:rsidR="001D5B26" w:rsidRPr="00371F14">
        <w:t>décrites</w:t>
      </w:r>
      <w:r w:rsidRPr="00371F14">
        <w:rPr>
          <w:rFonts w:eastAsia="Calibri"/>
        </w:rPr>
        <w:t xml:space="preserve"> </w:t>
      </w:r>
      <w:r w:rsidR="00366AA8" w:rsidRPr="00371F14">
        <w:t>précis</w:t>
      </w:r>
      <w:r w:rsidR="00366AA8">
        <w:t>é</w:t>
      </w:r>
      <w:r w:rsidR="00366AA8" w:rsidRPr="00371F14">
        <w:t>ment</w:t>
      </w:r>
      <w:r w:rsidR="000A3220">
        <w:rPr>
          <w:rFonts w:eastAsia="Calibri"/>
        </w:rPr>
        <w:t xml:space="preserve"> au sein du </w:t>
      </w:r>
      <w:r w:rsidRPr="00371F14">
        <w:rPr>
          <w:rFonts w:eastAsia="Calibri"/>
        </w:rPr>
        <w:t>document.</w:t>
      </w:r>
    </w:p>
    <w:p w:rsidR="00371F14" w:rsidRPr="00371F14" w:rsidRDefault="00371F14" w:rsidP="00364C2D">
      <w:pPr>
        <w:suppressAutoHyphens w:val="0"/>
        <w:autoSpaceDE w:val="0"/>
        <w:adjustRightInd w:val="0"/>
        <w:jc w:val="left"/>
        <w:textAlignment w:val="auto"/>
        <w:rPr>
          <w:rFonts w:eastAsia="Calibri"/>
        </w:rPr>
      </w:pPr>
      <w:r w:rsidRPr="00371F14">
        <w:rPr>
          <w:rFonts w:eastAsia="Calibri"/>
        </w:rPr>
        <w:t>L</w:t>
      </w:r>
      <w:r w:rsidR="0097030F">
        <w:rPr>
          <w:rFonts w:hint="eastAsia"/>
        </w:rPr>
        <w:t>'</w:t>
      </w:r>
      <w:r w:rsidR="000309C9" w:rsidRPr="00371F14">
        <w:rPr>
          <w:rFonts w:eastAsia="Calibri"/>
        </w:rPr>
        <w:t>émetteur</w:t>
      </w:r>
      <w:r w:rsidRPr="00371F14">
        <w:rPr>
          <w:rFonts w:eastAsia="Calibri"/>
        </w:rPr>
        <w:t xml:space="preserve"> attire l</w:t>
      </w:r>
      <w:r w:rsidR="000A3220">
        <w:rPr>
          <w:rFonts w:eastAsia="Calibri" w:hint="eastAsia"/>
        </w:rPr>
        <w:t>'</w:t>
      </w:r>
      <w:r w:rsidRPr="00371F14">
        <w:rPr>
          <w:rFonts w:eastAsia="Calibri"/>
        </w:rPr>
        <w:t xml:space="preserve">attention des investisseurs sur les </w:t>
      </w:r>
      <w:r w:rsidR="000A3220" w:rsidRPr="00371F14">
        <w:rPr>
          <w:rFonts w:eastAsia="Calibri"/>
        </w:rPr>
        <w:t>spécificités</w:t>
      </w:r>
      <w:r w:rsidRPr="00371F14">
        <w:rPr>
          <w:rFonts w:eastAsia="Calibri"/>
        </w:rPr>
        <w:t xml:space="preserve"> et risques </w:t>
      </w:r>
      <w:r w:rsidR="0097030F" w:rsidRPr="00371F14">
        <w:rPr>
          <w:rFonts w:eastAsia="Calibri"/>
        </w:rPr>
        <w:t>liés</w:t>
      </w:r>
      <w:r w:rsidRPr="00371F14">
        <w:rPr>
          <w:rFonts w:eastAsia="Calibri"/>
        </w:rPr>
        <w:t xml:space="preserve"> </w:t>
      </w:r>
      <w:r w:rsidR="0097030F">
        <w:rPr>
          <w:rFonts w:eastAsia="Calibri"/>
        </w:rPr>
        <w:t>à</w:t>
      </w:r>
      <w:r w:rsidRPr="00371F14">
        <w:rPr>
          <w:rFonts w:eastAsia="Calibri"/>
        </w:rPr>
        <w:t xml:space="preserve"> un investissement </w:t>
      </w:r>
      <w:r w:rsidR="0097030F">
        <w:rPr>
          <w:rFonts w:eastAsia="Calibri"/>
        </w:rPr>
        <w:t>dans des parts social</w:t>
      </w:r>
      <w:r w:rsidR="00364C2D">
        <w:rPr>
          <w:rFonts w:eastAsia="Calibri"/>
        </w:rPr>
        <w:t>es.</w:t>
      </w:r>
    </w:p>
    <w:p w:rsidR="00371F14" w:rsidRPr="00371F14" w:rsidRDefault="009D05DD" w:rsidP="00371F14">
      <w:pPr>
        <w:suppressAutoHyphens w:val="0"/>
        <w:autoSpaceDE w:val="0"/>
        <w:adjustRightInd w:val="0"/>
        <w:jc w:val="left"/>
        <w:textAlignment w:val="auto"/>
        <w:rPr>
          <w:rFonts w:eastAsia="Calibri"/>
        </w:rPr>
      </w:pPr>
      <w:r w:rsidRPr="00371F14">
        <w:rPr>
          <w:rFonts w:eastAsia="Calibri"/>
        </w:rPr>
        <w:t>L'attention</w:t>
      </w:r>
      <w:r w:rsidR="00371F14" w:rsidRPr="00371F14">
        <w:rPr>
          <w:rFonts w:eastAsia="Calibri"/>
        </w:rPr>
        <w:t xml:space="preserve"> des investisseurs est notamment attir</w:t>
      </w:r>
      <w:r w:rsidR="00364C2D">
        <w:rPr>
          <w:rFonts w:eastAsia="Calibri"/>
        </w:rPr>
        <w:t>é</w:t>
      </w:r>
      <w:r w:rsidR="00371F14" w:rsidRPr="00371F14">
        <w:rPr>
          <w:rFonts w:eastAsia="Calibri"/>
        </w:rPr>
        <w:t>e sur le fait que :</w:t>
      </w:r>
    </w:p>
    <w:p w:rsidR="00371F14" w:rsidRPr="00A845E4" w:rsidRDefault="00371F1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 xml:space="preserve">une </w:t>
      </w:r>
      <w:r w:rsidR="00364C2D" w:rsidRPr="00A845E4">
        <w:rPr>
          <w:rFonts w:eastAsia="Calibri"/>
        </w:rPr>
        <w:t>société</w:t>
      </w:r>
      <w:r w:rsidRPr="00A845E4">
        <w:rPr>
          <w:rFonts w:eastAsia="Calibri"/>
        </w:rPr>
        <w:t xml:space="preserve"> </w:t>
      </w:r>
      <w:r w:rsidR="00364C2D" w:rsidRPr="00A845E4">
        <w:rPr>
          <w:rFonts w:eastAsia="Calibri"/>
        </w:rPr>
        <w:t>coopérative</w:t>
      </w:r>
      <w:r w:rsidRPr="00A845E4">
        <w:rPr>
          <w:rFonts w:eastAsia="Calibri"/>
        </w:rPr>
        <w:t xml:space="preserve">, </w:t>
      </w:r>
      <w:r w:rsidR="00364C2D" w:rsidRPr="00A845E4">
        <w:rPr>
          <w:rFonts w:eastAsia="Calibri"/>
        </w:rPr>
        <w:t>régie</w:t>
      </w:r>
      <w:r w:rsidRPr="00A845E4">
        <w:rPr>
          <w:rFonts w:eastAsia="Calibri"/>
        </w:rPr>
        <w:t xml:space="preserve"> par la loi n</w:t>
      </w:r>
      <w:r w:rsidRPr="00A845E4">
        <w:rPr>
          <w:rFonts w:eastAsia="Calibri" w:hint="eastAsia"/>
        </w:rPr>
        <w:t>°</w:t>
      </w:r>
      <w:r w:rsidRPr="00A845E4">
        <w:rPr>
          <w:rFonts w:eastAsia="Calibri"/>
        </w:rPr>
        <w:t xml:space="preserve"> 47-1775 du 10 septembre 1947 portant statut de la </w:t>
      </w:r>
      <w:r w:rsidR="00364C2D" w:rsidRPr="00A845E4">
        <w:rPr>
          <w:rFonts w:eastAsia="Calibri"/>
        </w:rPr>
        <w:t>coopération</w:t>
      </w:r>
      <w:r w:rsidRPr="00A845E4">
        <w:rPr>
          <w:rFonts w:eastAsia="Calibri"/>
        </w:rPr>
        <w:t xml:space="preserve">, est </w:t>
      </w:r>
      <w:r w:rsidRPr="00A845E4">
        <w:rPr>
          <w:rFonts w:eastAsia="Calibri" w:hint="eastAsia"/>
        </w:rPr>
        <w:t>«</w:t>
      </w:r>
      <w:r w:rsidRPr="00A845E4">
        <w:rPr>
          <w:rFonts w:eastAsia="Calibri"/>
        </w:rPr>
        <w:t xml:space="preserve"> constitu</w:t>
      </w:r>
      <w:r w:rsidR="00364C2D" w:rsidRPr="00A845E4">
        <w:rPr>
          <w:rFonts w:eastAsia="Calibri"/>
        </w:rPr>
        <w:t>é</w:t>
      </w:r>
      <w:r w:rsidR="000309C9" w:rsidRPr="00A845E4">
        <w:rPr>
          <w:rFonts w:eastAsia="Calibri"/>
        </w:rPr>
        <w:t xml:space="preserve">e par </w:t>
      </w:r>
      <w:r w:rsidRPr="00A845E4">
        <w:rPr>
          <w:rFonts w:eastAsia="Calibri"/>
        </w:rPr>
        <w:t xml:space="preserve">plusieurs personnes volontairement </w:t>
      </w:r>
      <w:r w:rsidR="000309C9" w:rsidRPr="00A845E4">
        <w:rPr>
          <w:rFonts w:eastAsia="Calibri"/>
        </w:rPr>
        <w:t>réunies</w:t>
      </w:r>
      <w:r w:rsidRPr="00A845E4">
        <w:rPr>
          <w:rFonts w:eastAsia="Calibri"/>
        </w:rPr>
        <w:t xml:space="preserve"> en vue de satisfaire </w:t>
      </w:r>
      <w:r w:rsidR="000309C9" w:rsidRPr="00A845E4">
        <w:rPr>
          <w:rFonts w:eastAsia="Calibri"/>
        </w:rPr>
        <w:t>à</w:t>
      </w:r>
      <w:r w:rsidRPr="00A845E4">
        <w:rPr>
          <w:rFonts w:eastAsia="Calibri"/>
        </w:rPr>
        <w:t xml:space="preserve"> leurs besoins </w:t>
      </w:r>
      <w:r w:rsidR="00364C2D" w:rsidRPr="00A845E4">
        <w:rPr>
          <w:rFonts w:eastAsia="Calibri"/>
        </w:rPr>
        <w:t>é</w:t>
      </w:r>
      <w:r w:rsidRPr="00A845E4">
        <w:rPr>
          <w:rFonts w:eastAsia="Calibri"/>
        </w:rPr>
        <w:t>conomiques ou socia</w:t>
      </w:r>
      <w:r w:rsidR="000309C9" w:rsidRPr="00A845E4">
        <w:rPr>
          <w:rFonts w:eastAsia="Calibri"/>
        </w:rPr>
        <w:t xml:space="preserve">ux par leur effort commun et la </w:t>
      </w:r>
      <w:r w:rsidRPr="00A845E4">
        <w:rPr>
          <w:rFonts w:eastAsia="Calibri"/>
        </w:rPr>
        <w:t xml:space="preserve">mise en place des moyens </w:t>
      </w:r>
      <w:r w:rsidR="000309C9" w:rsidRPr="00A845E4">
        <w:rPr>
          <w:rFonts w:eastAsia="Calibri"/>
        </w:rPr>
        <w:t>nécessaires</w:t>
      </w:r>
      <w:r w:rsidRPr="00A845E4">
        <w:rPr>
          <w:rFonts w:eastAsia="Calibri"/>
        </w:rPr>
        <w:t xml:space="preserve"> </w:t>
      </w:r>
      <w:r w:rsidRPr="00A845E4">
        <w:rPr>
          <w:rFonts w:eastAsia="Calibri" w:hint="eastAsia"/>
        </w:rPr>
        <w:t>»</w:t>
      </w:r>
      <w:r w:rsidRPr="00A845E4">
        <w:rPr>
          <w:rFonts w:eastAsia="Calibri"/>
        </w:rPr>
        <w:t xml:space="preserve"> ; la vocation principale d</w:t>
      </w:r>
      <w:r w:rsidR="000309C9" w:rsidRPr="00A845E4">
        <w:rPr>
          <w:rFonts w:eastAsia="Calibri" w:hint="eastAsia"/>
        </w:rPr>
        <w:t>'</w:t>
      </w:r>
      <w:r w:rsidRPr="00A845E4">
        <w:rPr>
          <w:rFonts w:eastAsia="Calibri"/>
        </w:rPr>
        <w:t xml:space="preserve">une </w:t>
      </w:r>
      <w:r w:rsidR="000309C9" w:rsidRPr="00A845E4">
        <w:rPr>
          <w:rFonts w:eastAsia="Calibri"/>
        </w:rPr>
        <w:t>société</w:t>
      </w:r>
      <w:r w:rsidRPr="00A845E4">
        <w:rPr>
          <w:rFonts w:eastAsia="Calibri"/>
        </w:rPr>
        <w:t xml:space="preserve"> </w:t>
      </w:r>
      <w:r w:rsidR="000309C9" w:rsidRPr="00A845E4">
        <w:rPr>
          <w:rFonts w:eastAsia="Calibri"/>
        </w:rPr>
        <w:t>coopérative</w:t>
      </w:r>
      <w:r w:rsidRPr="00A845E4">
        <w:rPr>
          <w:rFonts w:eastAsia="Calibri"/>
        </w:rPr>
        <w:t xml:space="preserve"> n</w:t>
      </w:r>
      <w:r w:rsidR="000309C9" w:rsidRPr="00A845E4">
        <w:rPr>
          <w:rFonts w:eastAsia="Calibri" w:hint="eastAsia"/>
        </w:rPr>
        <w:t>'</w:t>
      </w:r>
      <w:r w:rsidRPr="00A845E4">
        <w:rPr>
          <w:rFonts w:eastAsia="Calibri"/>
        </w:rPr>
        <w:t xml:space="preserve">est pas de </w:t>
      </w:r>
      <w:r w:rsidR="000309C9" w:rsidRPr="00A845E4">
        <w:rPr>
          <w:rFonts w:eastAsia="Calibri"/>
        </w:rPr>
        <w:t>réaliser</w:t>
      </w:r>
      <w:r w:rsidRPr="00A845E4">
        <w:rPr>
          <w:rFonts w:eastAsia="Calibri"/>
        </w:rPr>
        <w:t xml:space="preserve"> des </w:t>
      </w:r>
      <w:r w:rsidR="000309C9" w:rsidRPr="00A845E4">
        <w:rPr>
          <w:rFonts w:eastAsia="Calibri"/>
        </w:rPr>
        <w:t xml:space="preserve">bénéfices en vue de </w:t>
      </w:r>
      <w:r w:rsidRPr="00A845E4">
        <w:rPr>
          <w:rFonts w:eastAsia="Calibri"/>
        </w:rPr>
        <w:t>les partager sous forme de dividendes aux associ</w:t>
      </w:r>
      <w:r w:rsidR="00364C2D" w:rsidRPr="00A845E4">
        <w:rPr>
          <w:rFonts w:eastAsia="Calibri"/>
        </w:rPr>
        <w:t>é</w:t>
      </w:r>
      <w:r w:rsidRPr="00A845E4">
        <w:rPr>
          <w:rFonts w:eastAsia="Calibri"/>
        </w:rPr>
        <w:t>s en fonction de leur investissement ;</w:t>
      </w:r>
    </w:p>
    <w:p w:rsidR="00371F14" w:rsidRPr="00A845E4" w:rsidRDefault="00371F1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 xml:space="preserve">le rendement des parts sociales, </w:t>
      </w:r>
      <w:r w:rsidR="00520759" w:rsidRPr="00A845E4">
        <w:rPr>
          <w:rFonts w:eastAsia="Calibri"/>
        </w:rPr>
        <w:t>nécessairement</w:t>
      </w:r>
      <w:r w:rsidRPr="00A845E4">
        <w:rPr>
          <w:rFonts w:eastAsia="Calibri"/>
        </w:rPr>
        <w:t xml:space="preserve"> souscrites </w:t>
      </w:r>
      <w:r w:rsidR="00520759" w:rsidRPr="00A845E4">
        <w:rPr>
          <w:rFonts w:eastAsia="Calibri"/>
        </w:rPr>
        <w:t>à</w:t>
      </w:r>
      <w:r w:rsidRPr="00A845E4">
        <w:rPr>
          <w:rFonts w:eastAsia="Calibri"/>
        </w:rPr>
        <w:t xml:space="preserve"> leur valeur nominale, est limite et encadre</w:t>
      </w:r>
      <w:r w:rsidR="00520759" w:rsidRPr="00A845E4">
        <w:rPr>
          <w:rFonts w:eastAsia="Calibri"/>
        </w:rPr>
        <w:t xml:space="preserve"> par la loi : TMO+2%</w:t>
      </w:r>
      <w:r w:rsidR="00E15807" w:rsidRPr="00A845E4">
        <w:rPr>
          <w:rFonts w:eastAsia="Calibri"/>
        </w:rPr>
        <w:t>.</w:t>
      </w:r>
    </w:p>
    <w:p w:rsidR="00371F14" w:rsidRPr="00A845E4" w:rsidRDefault="00371F1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les parts sociales ne sont pas librement cessibles notamment en raison de clauses d</w:t>
      </w:r>
      <w:r w:rsidR="00E15807" w:rsidRPr="00A845E4">
        <w:rPr>
          <w:rFonts w:eastAsia="Calibri" w:hint="eastAsia"/>
        </w:rPr>
        <w:t>'</w:t>
      </w:r>
      <w:r w:rsidRPr="00A845E4">
        <w:rPr>
          <w:rFonts w:eastAsia="Calibri"/>
        </w:rPr>
        <w:t>agr</w:t>
      </w:r>
      <w:r w:rsidR="00364C2D" w:rsidRPr="00A845E4">
        <w:rPr>
          <w:rFonts w:eastAsia="Calibri"/>
        </w:rPr>
        <w:t>é</w:t>
      </w:r>
      <w:r w:rsidR="00E15807" w:rsidRPr="00A845E4">
        <w:rPr>
          <w:rFonts w:eastAsia="Calibri"/>
        </w:rPr>
        <w:t>ment.</w:t>
      </w:r>
    </w:p>
    <w:p w:rsidR="00371F14" w:rsidRPr="00A845E4" w:rsidRDefault="00EC5B0C" w:rsidP="00A845E4">
      <w:pPr>
        <w:pStyle w:val="Paragraphedeliste"/>
        <w:numPr>
          <w:ilvl w:val="0"/>
          <w:numId w:val="23"/>
        </w:numPr>
        <w:suppressAutoHyphens w:val="0"/>
        <w:autoSpaceDE w:val="0"/>
        <w:adjustRightInd w:val="0"/>
        <w:jc w:val="left"/>
        <w:textAlignment w:val="auto"/>
        <w:rPr>
          <w:rFonts w:eastAsia="Calibri"/>
        </w:rPr>
      </w:pPr>
      <w:r>
        <w:rPr>
          <w:rFonts w:hint="eastAsia"/>
        </w:rPr>
        <w:t>C</w:t>
      </w:r>
      <w:r>
        <w:t>onformément aux statuts,</w:t>
      </w:r>
      <w:r w:rsidR="00371F14" w:rsidRPr="00A845E4">
        <w:rPr>
          <w:rFonts w:eastAsia="Calibri"/>
        </w:rPr>
        <w:t xml:space="preserve"> il n</w:t>
      </w:r>
      <w:r w:rsidR="000A396D" w:rsidRPr="00A845E4">
        <w:rPr>
          <w:rFonts w:eastAsia="Calibri" w:hint="eastAsia"/>
        </w:rPr>
        <w:t>'</w:t>
      </w:r>
      <w:r w:rsidR="00371F14" w:rsidRPr="00A845E4">
        <w:rPr>
          <w:rFonts w:eastAsia="Calibri"/>
        </w:rPr>
        <w:t>existe pas d</w:t>
      </w:r>
      <w:r w:rsidR="000A396D" w:rsidRPr="00A845E4">
        <w:rPr>
          <w:rFonts w:eastAsia="Calibri" w:hint="eastAsia"/>
        </w:rPr>
        <w:t>'</w:t>
      </w:r>
      <w:r w:rsidR="00371F14" w:rsidRPr="00A845E4">
        <w:rPr>
          <w:rFonts w:eastAsia="Calibri"/>
        </w:rPr>
        <w:t>assurance pour le souscripteur, en cas de demande d</w:t>
      </w:r>
      <w:r w:rsidR="000A396D" w:rsidRPr="00A845E4">
        <w:rPr>
          <w:rFonts w:eastAsia="Calibri" w:hint="eastAsia"/>
        </w:rPr>
        <w:t>'</w:t>
      </w:r>
      <w:r w:rsidR="00371F14" w:rsidRPr="00A845E4">
        <w:rPr>
          <w:rFonts w:eastAsia="Calibri"/>
        </w:rPr>
        <w:t>exercice de son droit de retrait</w:t>
      </w:r>
      <w:r w:rsidR="00E15807" w:rsidRPr="00A845E4">
        <w:rPr>
          <w:rFonts w:eastAsia="Calibri"/>
        </w:rPr>
        <w:t>, que</w:t>
      </w:r>
      <w:r w:rsidR="00371F14" w:rsidRPr="00A845E4">
        <w:rPr>
          <w:rFonts w:eastAsia="Calibri"/>
        </w:rPr>
        <w:t xml:space="preserve"> la </w:t>
      </w:r>
      <w:r w:rsidR="00E15807" w:rsidRPr="00A845E4">
        <w:rPr>
          <w:rFonts w:eastAsia="Calibri"/>
        </w:rPr>
        <w:t>société</w:t>
      </w:r>
      <w:r w:rsidR="00371F14" w:rsidRPr="00A845E4">
        <w:rPr>
          <w:rFonts w:eastAsia="Calibri"/>
        </w:rPr>
        <w:t xml:space="preserve"> puisse racheter les parts sociales </w:t>
      </w:r>
      <w:r w:rsidR="00E15807" w:rsidRPr="00A845E4">
        <w:rPr>
          <w:rFonts w:eastAsia="Calibri"/>
        </w:rPr>
        <w:t>à</w:t>
      </w:r>
      <w:r w:rsidR="00371F14" w:rsidRPr="00A845E4">
        <w:rPr>
          <w:rFonts w:eastAsia="Calibri"/>
        </w:rPr>
        <w:t xml:space="preserve"> leur valeur nominale ;</w:t>
      </w:r>
    </w:p>
    <w:p w:rsidR="00371F14" w:rsidRPr="00A845E4" w:rsidRDefault="00371F1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le droit de vote des porteurs de parts sociales n</w:t>
      </w:r>
      <w:r w:rsidR="000A396D" w:rsidRPr="00A845E4">
        <w:rPr>
          <w:rFonts w:eastAsia="Calibri" w:hint="eastAsia"/>
        </w:rPr>
        <w:t>'</w:t>
      </w:r>
      <w:r w:rsidRPr="00A845E4">
        <w:rPr>
          <w:rFonts w:eastAsia="Calibri"/>
        </w:rPr>
        <w:t xml:space="preserve">est pas proportionnel </w:t>
      </w:r>
      <w:r w:rsidR="00EC5B0C" w:rsidRPr="00A845E4">
        <w:rPr>
          <w:rFonts w:eastAsia="Calibri"/>
        </w:rPr>
        <w:t>à</w:t>
      </w:r>
      <w:r w:rsidRPr="00A845E4">
        <w:rPr>
          <w:rFonts w:eastAsia="Calibri"/>
        </w:rPr>
        <w:t xml:space="preserve"> leur d</w:t>
      </w:r>
      <w:r w:rsidR="00364C2D" w:rsidRPr="00A845E4">
        <w:rPr>
          <w:rFonts w:eastAsia="Calibri"/>
        </w:rPr>
        <w:t>é</w:t>
      </w:r>
      <w:r w:rsidRPr="00A845E4">
        <w:rPr>
          <w:rFonts w:eastAsia="Calibri"/>
        </w:rPr>
        <w:t>tention en capital</w:t>
      </w:r>
      <w:r w:rsidR="00785BE0" w:rsidRPr="00A845E4">
        <w:rPr>
          <w:rFonts w:eastAsia="Calibri"/>
        </w:rPr>
        <w:t xml:space="preserve"> 1 sociétaire égal une voix.</w:t>
      </w:r>
    </w:p>
    <w:p w:rsidR="00371F14" w:rsidRPr="00A845E4" w:rsidRDefault="00371F1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 xml:space="preserve">la perspective </w:t>
      </w:r>
      <w:r w:rsidR="00B1015C" w:rsidRPr="00A845E4">
        <w:rPr>
          <w:rFonts w:eastAsia="Calibri"/>
        </w:rPr>
        <w:t>éventuelle</w:t>
      </w:r>
      <w:r w:rsidRPr="00A845E4">
        <w:rPr>
          <w:rFonts w:eastAsia="Calibri"/>
        </w:rPr>
        <w:t xml:space="preserve"> de plus-value est </w:t>
      </w:r>
      <w:r w:rsidR="00B1015C" w:rsidRPr="00A845E4">
        <w:rPr>
          <w:rFonts w:eastAsia="Calibri"/>
        </w:rPr>
        <w:t>limitée</w:t>
      </w:r>
      <w:r w:rsidRPr="00A845E4">
        <w:rPr>
          <w:rFonts w:eastAsia="Calibri"/>
        </w:rPr>
        <w:t xml:space="preserve"> aux seuls cas de r</w:t>
      </w:r>
      <w:r w:rsidR="00364C2D" w:rsidRPr="00A845E4">
        <w:rPr>
          <w:rFonts w:eastAsia="Calibri"/>
        </w:rPr>
        <w:t>éé</w:t>
      </w:r>
      <w:r w:rsidRPr="00A845E4">
        <w:rPr>
          <w:rFonts w:eastAsia="Calibri"/>
        </w:rPr>
        <w:t>valuation de la valeur nominale des parts ;</w:t>
      </w:r>
    </w:p>
    <w:p w:rsidR="00371F14" w:rsidRPr="00A845E4" w:rsidRDefault="00A845E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E</w:t>
      </w:r>
      <w:r w:rsidR="00371F14" w:rsidRPr="00A845E4">
        <w:rPr>
          <w:rFonts w:eastAsia="Calibri"/>
        </w:rPr>
        <w:t>n cas de liquidation, l</w:t>
      </w:r>
      <w:r w:rsidR="00446540">
        <w:rPr>
          <w:rFonts w:hint="eastAsia"/>
        </w:rPr>
        <w:t>'</w:t>
      </w:r>
      <w:r w:rsidR="00446540" w:rsidRPr="00A845E4">
        <w:rPr>
          <w:rFonts w:eastAsia="Calibri"/>
        </w:rPr>
        <w:t>éventuel</w:t>
      </w:r>
      <w:r w:rsidR="00371F14" w:rsidRPr="00A845E4">
        <w:rPr>
          <w:rFonts w:eastAsia="Calibri"/>
        </w:rPr>
        <w:t xml:space="preserve"> boni en </w:t>
      </w:r>
      <w:r w:rsidR="00446540" w:rsidRPr="00A845E4">
        <w:rPr>
          <w:rFonts w:eastAsia="Calibri"/>
        </w:rPr>
        <w:t>résultant</w:t>
      </w:r>
      <w:r w:rsidR="00371F14" w:rsidRPr="00A845E4">
        <w:rPr>
          <w:rFonts w:eastAsia="Calibri"/>
        </w:rPr>
        <w:t xml:space="preserve"> n</w:t>
      </w:r>
      <w:r w:rsidR="00446540">
        <w:rPr>
          <w:rFonts w:hint="eastAsia"/>
        </w:rPr>
        <w:t>'</w:t>
      </w:r>
      <w:r w:rsidR="00371F14" w:rsidRPr="00A845E4">
        <w:rPr>
          <w:rFonts w:eastAsia="Calibri"/>
        </w:rPr>
        <w:t>est pas distribu</w:t>
      </w:r>
      <w:r w:rsidR="00364C2D" w:rsidRPr="00A845E4">
        <w:rPr>
          <w:rFonts w:eastAsia="Calibri"/>
        </w:rPr>
        <w:t>é</w:t>
      </w:r>
      <w:r w:rsidR="00371F14" w:rsidRPr="00A845E4">
        <w:rPr>
          <w:rFonts w:eastAsia="Calibri"/>
        </w:rPr>
        <w:t xml:space="preserve"> aux porteurs de parts sociales ;</w:t>
      </w:r>
    </w:p>
    <w:p w:rsidR="00927326" w:rsidRPr="00A845E4" w:rsidRDefault="009D05DD"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La souscription de parts sociales n'offre pas d'avantage fiscal.</w:t>
      </w:r>
    </w:p>
    <w:p w:rsidR="00D26076" w:rsidRDefault="00D26076" w:rsidP="00D26076">
      <w:pPr>
        <w:pStyle w:val="Titre1"/>
        <w:pageBreakBefore/>
      </w:pPr>
      <w:bookmarkStart w:id="1" w:name="_fab2ushu9n12"/>
      <w:bookmarkEnd w:id="1"/>
      <w:r>
        <w:lastRenderedPageBreak/>
        <w:t>I – Activité de l’émetteur et du projet</w:t>
      </w:r>
    </w:p>
    <w:p w:rsidR="00D26076" w:rsidRDefault="00D26076" w:rsidP="00D26076">
      <w:pPr>
        <w:pStyle w:val="Standard"/>
        <w:rPr>
          <w:color w:val="0070C0"/>
          <w:sz w:val="24"/>
          <w:szCs w:val="24"/>
        </w:rPr>
      </w:pPr>
    </w:p>
    <w:p w:rsidR="00D26076" w:rsidRDefault="00D26076" w:rsidP="00D26076">
      <w:pPr>
        <w:pStyle w:val="Standard"/>
      </w:pPr>
      <w:r>
        <w:t xml:space="preserve">L’émetteur a </w:t>
      </w:r>
      <w:r w:rsidRPr="00D46680">
        <w:rPr>
          <w:rFonts w:ascii="Calibri Light" w:hAnsi="Calibri Light" w:cs="Calibri Light"/>
          <w:sz w:val="22"/>
          <w:szCs w:val="22"/>
        </w:rPr>
        <w:t xml:space="preserve">pour objet de </w:t>
      </w:r>
      <w:r w:rsidR="00400244" w:rsidRPr="00D46680">
        <w:rPr>
          <w:rFonts w:ascii="Calibri Light" w:hAnsi="Calibri Light" w:cs="Calibri Light"/>
          <w:sz w:val="22"/>
          <w:szCs w:val="22"/>
        </w:rPr>
        <w:t>:</w:t>
      </w:r>
    </w:p>
    <w:p w:rsidR="00400244" w:rsidRPr="00DE6040" w:rsidRDefault="00400244" w:rsidP="00400244">
      <w:pPr>
        <w:ind w:firstLine="426"/>
        <w:rPr>
          <w:rFonts w:ascii="Calibri Light" w:hAnsi="Calibri Light" w:cs="Calibri Light"/>
          <w:sz w:val="22"/>
          <w:szCs w:val="22"/>
        </w:rPr>
      </w:pPr>
      <w:r w:rsidRPr="00DE6040">
        <w:rPr>
          <w:rFonts w:ascii="Calibri Light" w:hAnsi="Calibri Light" w:cs="Calibri Light"/>
          <w:sz w:val="22"/>
          <w:szCs w:val="22"/>
        </w:rPr>
        <w:t>La Société coopérative poursuit comme objectif principal la recherche d’une utilité sociale. L’intérêt collectif défini en préambule se réalise notamment à travers les activités suivantes :</w:t>
      </w:r>
    </w:p>
    <w:p w:rsidR="00400244" w:rsidRPr="00DE6040" w:rsidRDefault="00400244" w:rsidP="00400244">
      <w:pPr>
        <w:numPr>
          <w:ilvl w:val="0"/>
          <w:numId w:val="32"/>
        </w:numPr>
        <w:autoSpaceDN/>
        <w:ind w:firstLine="426"/>
        <w:textAlignment w:val="auto"/>
        <w:rPr>
          <w:rFonts w:ascii="Calibri Light" w:hAnsi="Calibri Light" w:cs="Calibri Light"/>
          <w:sz w:val="22"/>
          <w:szCs w:val="22"/>
        </w:rPr>
      </w:pPr>
      <w:r w:rsidRPr="00DE6040">
        <w:rPr>
          <w:rFonts w:ascii="Calibri Light" w:hAnsi="Calibri Light" w:cs="Calibri Light"/>
          <w:sz w:val="22"/>
          <w:szCs w:val="22"/>
        </w:rPr>
        <w:t>La participation des citoyens à la réalisation de productions d’énergie renouvelable ;</w:t>
      </w:r>
    </w:p>
    <w:p w:rsidR="00400244" w:rsidRPr="00DE6040" w:rsidRDefault="00400244" w:rsidP="00400244">
      <w:pPr>
        <w:numPr>
          <w:ilvl w:val="0"/>
          <w:numId w:val="32"/>
        </w:numPr>
        <w:autoSpaceDN/>
        <w:ind w:firstLine="426"/>
        <w:textAlignment w:val="auto"/>
        <w:rPr>
          <w:rFonts w:ascii="Calibri Light" w:hAnsi="Calibri Light" w:cs="Calibri Light"/>
          <w:sz w:val="22"/>
          <w:szCs w:val="22"/>
        </w:rPr>
      </w:pPr>
      <w:r w:rsidRPr="00DE6040">
        <w:rPr>
          <w:rFonts w:ascii="Calibri Light" w:hAnsi="Calibri Light" w:cs="Calibri Light"/>
          <w:sz w:val="22"/>
          <w:szCs w:val="22"/>
        </w:rPr>
        <w:t>La conduite d’actions de sensibilisations ;</w:t>
      </w:r>
    </w:p>
    <w:p w:rsidR="00400244" w:rsidRPr="00DE6040" w:rsidRDefault="00400244" w:rsidP="00400244">
      <w:pPr>
        <w:numPr>
          <w:ilvl w:val="0"/>
          <w:numId w:val="32"/>
        </w:numPr>
        <w:autoSpaceDN/>
        <w:ind w:firstLine="426"/>
        <w:textAlignment w:val="auto"/>
        <w:rPr>
          <w:rFonts w:ascii="Calibri Light" w:hAnsi="Calibri Light" w:cs="Calibri Light"/>
          <w:sz w:val="22"/>
          <w:szCs w:val="22"/>
        </w:rPr>
      </w:pPr>
      <w:r w:rsidRPr="00DE6040">
        <w:rPr>
          <w:rFonts w:ascii="Calibri Light" w:hAnsi="Calibri Light" w:cs="Calibri Light"/>
          <w:sz w:val="22"/>
          <w:szCs w:val="22"/>
        </w:rPr>
        <w:t>La collaboration, le partage, la mise en réseau avec tout organisme poursuivant les mêmes objectifs ;</w:t>
      </w:r>
    </w:p>
    <w:p w:rsidR="00400244" w:rsidRPr="00DE6040" w:rsidRDefault="00400244" w:rsidP="00400244">
      <w:pPr>
        <w:numPr>
          <w:ilvl w:val="0"/>
          <w:numId w:val="32"/>
        </w:numPr>
        <w:autoSpaceDN/>
        <w:ind w:firstLine="426"/>
        <w:textAlignment w:val="auto"/>
        <w:rPr>
          <w:rFonts w:ascii="Calibri Light" w:hAnsi="Calibri Light" w:cs="Calibri Light"/>
          <w:sz w:val="22"/>
          <w:szCs w:val="22"/>
        </w:rPr>
      </w:pPr>
      <w:r w:rsidRPr="00DE6040">
        <w:rPr>
          <w:rFonts w:ascii="Calibri Light" w:hAnsi="Calibri Light" w:cs="Calibri Light"/>
          <w:sz w:val="22"/>
          <w:szCs w:val="22"/>
        </w:rPr>
        <w:t>Le soutien à tout organisme, groupe citoyen qui poursuivrait les même objectifs ;</w:t>
      </w:r>
    </w:p>
    <w:p w:rsidR="00400244" w:rsidRPr="00DE6040" w:rsidRDefault="00400244" w:rsidP="00400244">
      <w:pPr>
        <w:pStyle w:val="Corpsdetexte"/>
        <w:spacing w:after="0"/>
        <w:ind w:firstLine="426"/>
        <w:jc w:val="both"/>
        <w:rPr>
          <w:rFonts w:ascii="Calibri Light" w:hAnsi="Calibri Light" w:cs="Calibri Light"/>
          <w:sz w:val="22"/>
          <w:szCs w:val="22"/>
        </w:rPr>
      </w:pPr>
      <w:r w:rsidRPr="00DE6040">
        <w:rPr>
          <w:rFonts w:ascii="Calibri Light" w:hAnsi="Calibri Light" w:cs="Calibri Light"/>
          <w:sz w:val="22"/>
          <w:szCs w:val="22"/>
        </w:rPr>
        <w:t xml:space="preserve">Et toutes activités annexes, connexes ou complémentaires s'y rattachant directement ou indirectement, l’adhésion et la participation aux outils financiers et aux structures du Mouvement Scop, ainsi que toutes opérations civiles, commerciales, industrielles, mobilières, immobilières, de crédit, utiles directement ou indirectement à la réalisation de l'objet social. </w:t>
      </w:r>
    </w:p>
    <w:p w:rsidR="00400244" w:rsidRPr="00DE6040" w:rsidRDefault="00400244" w:rsidP="00400244">
      <w:pPr>
        <w:pStyle w:val="Corpsdetexte"/>
        <w:spacing w:after="0"/>
        <w:ind w:firstLine="426"/>
        <w:jc w:val="both"/>
        <w:rPr>
          <w:rFonts w:ascii="Calibri Light" w:hAnsi="Calibri Light" w:cs="Calibri Light"/>
          <w:sz w:val="22"/>
          <w:szCs w:val="22"/>
          <w:highlight w:val="yellow"/>
        </w:rPr>
      </w:pPr>
      <w:r w:rsidRPr="00DE6040">
        <w:rPr>
          <w:rFonts w:ascii="Calibri Light" w:hAnsi="Calibri Light" w:cs="Calibri Light"/>
          <w:sz w:val="22"/>
          <w:szCs w:val="22"/>
        </w:rPr>
        <w:t>L’objet de la Société rend celle-ci éligible aux conventions, agréments et habilitations mentionnées à l’article 19 quindecies de la loi du 10 septembre 1947.</w:t>
      </w:r>
    </w:p>
    <w:p w:rsidR="00D26076" w:rsidRDefault="00D26076" w:rsidP="00D26076">
      <w:pPr>
        <w:pStyle w:val="Standard"/>
        <w:rPr>
          <w:shd w:val="clear" w:color="auto" w:fill="FFE599"/>
        </w:rPr>
      </w:pPr>
    </w:p>
    <w:p w:rsidR="005E024C" w:rsidRDefault="005E024C" w:rsidP="005E024C">
      <w:pPr>
        <w:pStyle w:val="Standard"/>
        <w:rPr>
          <w:rFonts w:ascii="Calibri Light" w:eastAsia="Times New Roman" w:hAnsi="Calibri Light" w:cs="Calibri Light"/>
          <w:sz w:val="22"/>
          <w:szCs w:val="22"/>
          <w:lang w:eastAsia="ar-SA" w:bidi="ar-SA"/>
        </w:rPr>
      </w:pPr>
      <w:r>
        <w:t>Les fonds levés seront utilisés pour financer le développement et la réalisation de moyens</w:t>
      </w:r>
      <w:r w:rsidR="00CC4B31">
        <w:rPr>
          <w:rFonts w:ascii="Calibri Light" w:eastAsia="Times New Roman" w:hAnsi="Calibri Light" w:cs="Calibri Light"/>
          <w:sz w:val="22"/>
          <w:szCs w:val="22"/>
          <w:lang w:eastAsia="ar-SA" w:bidi="ar-SA"/>
        </w:rPr>
        <w:t xml:space="preserve"> de production d'énergie renouvelable </w:t>
      </w:r>
      <w:r w:rsidR="00352D38">
        <w:rPr>
          <w:rFonts w:ascii="Calibri Light" w:eastAsia="Times New Roman" w:hAnsi="Calibri Light" w:cs="Calibri Light"/>
          <w:sz w:val="22"/>
          <w:szCs w:val="22"/>
          <w:lang w:eastAsia="ar-SA" w:bidi="ar-SA"/>
        </w:rPr>
        <w:t>notamment sur des bâtiments publics du sud-est toulousain</w:t>
      </w:r>
      <w:r>
        <w:rPr>
          <w:rFonts w:ascii="Calibri Light" w:eastAsia="Times New Roman" w:hAnsi="Calibri Light" w:cs="Calibri Light"/>
          <w:sz w:val="22"/>
          <w:szCs w:val="22"/>
          <w:lang w:eastAsia="ar-SA" w:bidi="ar-SA"/>
        </w:rPr>
        <w:t>.</w:t>
      </w:r>
      <w:r w:rsidR="009805F6">
        <w:rPr>
          <w:rFonts w:ascii="Calibri Light" w:eastAsia="Times New Roman" w:hAnsi="Calibri Light" w:cs="Calibri Light"/>
          <w:sz w:val="22"/>
          <w:szCs w:val="22"/>
          <w:lang w:eastAsia="ar-SA" w:bidi="ar-SA"/>
        </w:rPr>
        <w:t xml:space="preserve"> </w:t>
      </w:r>
    </w:p>
    <w:p w:rsidR="00D26076" w:rsidRPr="005E024C" w:rsidRDefault="005E024C" w:rsidP="005E024C">
      <w:pPr>
        <w:pStyle w:val="Standard"/>
      </w:pPr>
      <w:r w:rsidRPr="005E024C">
        <w:rPr>
          <w:rFonts w:ascii="Calibri Light" w:eastAsia="Times New Roman" w:hAnsi="Calibri Light" w:cs="Calibri Light"/>
          <w:sz w:val="22"/>
          <w:szCs w:val="22"/>
          <w:lang w:eastAsia="ar-SA" w:bidi="ar-SA"/>
        </w:rPr>
        <w:t xml:space="preserve">Icéa </w:t>
      </w:r>
      <w:r w:rsidR="006642FB">
        <w:rPr>
          <w:rFonts w:ascii="Calibri Light" w:eastAsia="Times New Roman" w:hAnsi="Calibri Light" w:cs="Calibri Light"/>
          <w:sz w:val="22"/>
          <w:szCs w:val="22"/>
          <w:lang w:eastAsia="ar-SA" w:bidi="ar-SA"/>
        </w:rPr>
        <w:t xml:space="preserve">installe des centrales photovoltaïques </w:t>
      </w:r>
      <w:r w:rsidRPr="005E024C">
        <w:rPr>
          <w:rFonts w:ascii="Calibri Light" w:eastAsia="Times New Roman" w:hAnsi="Calibri Light" w:cs="Calibri Light"/>
          <w:sz w:val="22"/>
          <w:szCs w:val="22"/>
          <w:lang w:eastAsia="ar-SA" w:bidi="ar-SA"/>
        </w:rPr>
        <w:t xml:space="preserve">depuis juin 2017 </w:t>
      </w:r>
      <w:r w:rsidR="009805F6">
        <w:rPr>
          <w:rFonts w:ascii="Calibri Light" w:eastAsia="Times New Roman" w:hAnsi="Calibri Light" w:cs="Calibri Light"/>
          <w:sz w:val="22"/>
          <w:szCs w:val="22"/>
          <w:lang w:eastAsia="ar-SA" w:bidi="ar-SA"/>
        </w:rPr>
        <w:t>et parallèlement fait de</w:t>
      </w:r>
      <w:r w:rsidR="00301A46">
        <w:rPr>
          <w:rFonts w:ascii="Calibri Light" w:eastAsia="Times New Roman" w:hAnsi="Calibri Light" w:cs="Calibri Light"/>
          <w:sz w:val="22"/>
          <w:szCs w:val="22"/>
          <w:lang w:eastAsia="ar-SA" w:bidi="ar-SA"/>
        </w:rPr>
        <w:t>s actions de sensibilisation à la transition énergétique.</w:t>
      </w:r>
    </w:p>
    <w:p w:rsidR="00D26076" w:rsidRDefault="00D26076" w:rsidP="00D26076">
      <w:pPr>
        <w:pStyle w:val="Standard"/>
        <w:ind w:left="720"/>
        <w:rPr>
          <w:shd w:val="clear" w:color="auto" w:fill="FFE599"/>
        </w:rPr>
      </w:pPr>
    </w:p>
    <w:p w:rsidR="00D26076" w:rsidRDefault="00915E44" w:rsidP="00D26076">
      <w:pPr>
        <w:pStyle w:val="Standard"/>
      </w:pPr>
      <w:r>
        <w:t>Le capital collecté</w:t>
      </w:r>
      <w:r w:rsidR="00D26076">
        <w:t xml:space="preserve"> constituer</w:t>
      </w:r>
      <w:r>
        <w:t>a</w:t>
      </w:r>
      <w:r w:rsidR="00D26076">
        <w:t xml:space="preserve"> les fonds propres nécessaires aux projets. Le financement sera complété</w:t>
      </w:r>
      <w:r w:rsidR="002D5BFB">
        <w:t xml:space="preserve"> </w:t>
      </w:r>
      <w:r w:rsidR="0084538E">
        <w:t>éventuellement des</w:t>
      </w:r>
      <w:r w:rsidR="002D5BFB">
        <w:t xml:space="preserve"> emprunts</w:t>
      </w:r>
      <w:r w:rsidR="0084538E">
        <w:t xml:space="preserve"> bancaires</w:t>
      </w:r>
      <w:r w:rsidR="00DC7EC8">
        <w:t xml:space="preserve">, ou par des </w:t>
      </w:r>
      <w:r w:rsidR="00B96B10">
        <w:t>comptes courants d'associés</w:t>
      </w:r>
      <w:r w:rsidR="002D5BFB">
        <w:t>.</w:t>
      </w:r>
      <w:r w:rsidR="00D26076">
        <w:t xml:space="preserve"> </w:t>
      </w:r>
    </w:p>
    <w:p w:rsidR="00D26076" w:rsidRPr="001924BC" w:rsidRDefault="00D26076" w:rsidP="00D26076">
      <w:pPr>
        <w:pStyle w:val="Standard"/>
        <w:rPr>
          <w:rFonts w:ascii="Calibri Light" w:eastAsia="Times New Roman" w:hAnsi="Calibri Light" w:cs="Calibri Light"/>
          <w:sz w:val="22"/>
          <w:szCs w:val="22"/>
          <w:lang w:eastAsia="ar-SA" w:bidi="ar-SA"/>
        </w:rPr>
      </w:pPr>
    </w:p>
    <w:p w:rsidR="00D26076" w:rsidRDefault="00D26076" w:rsidP="00D26076">
      <w:pPr>
        <w:pStyle w:val="Standard"/>
        <w:rPr>
          <w:rFonts w:ascii="Calibri Light" w:eastAsia="Times New Roman" w:hAnsi="Calibri Light" w:cs="Calibri Light"/>
          <w:sz w:val="22"/>
          <w:szCs w:val="22"/>
          <w:lang w:eastAsia="ar-SA" w:bidi="ar-SA"/>
        </w:rPr>
      </w:pPr>
      <w:r w:rsidRPr="001924BC">
        <w:rPr>
          <w:rFonts w:ascii="Calibri Light" w:eastAsia="Times New Roman" w:hAnsi="Calibri Light" w:cs="Calibri Light"/>
          <w:sz w:val="22"/>
          <w:szCs w:val="22"/>
          <w:lang w:eastAsia="ar-SA" w:bidi="ar-SA"/>
        </w:rPr>
        <w:t>L’électricité produit</w:t>
      </w:r>
      <w:r w:rsidR="00E47992" w:rsidRPr="001924BC">
        <w:rPr>
          <w:rFonts w:ascii="Calibri Light" w:eastAsia="Times New Roman" w:hAnsi="Calibri Light" w:cs="Calibri Light"/>
          <w:sz w:val="22"/>
          <w:szCs w:val="22"/>
          <w:lang w:eastAsia="ar-SA" w:bidi="ar-SA"/>
        </w:rPr>
        <w:t>e</w:t>
      </w:r>
      <w:r w:rsidRPr="001924BC">
        <w:rPr>
          <w:rFonts w:ascii="Calibri Light" w:eastAsia="Times New Roman" w:hAnsi="Calibri Light" w:cs="Calibri Light"/>
          <w:sz w:val="22"/>
          <w:szCs w:val="22"/>
          <w:lang w:eastAsia="ar-SA" w:bidi="ar-SA"/>
        </w:rPr>
        <w:t xml:space="preserve"> sera vendu</w:t>
      </w:r>
      <w:r w:rsidR="00E47992" w:rsidRPr="001924BC">
        <w:rPr>
          <w:rFonts w:ascii="Calibri Light" w:eastAsia="Times New Roman" w:hAnsi="Calibri Light" w:cs="Calibri Light"/>
          <w:sz w:val="22"/>
          <w:szCs w:val="22"/>
          <w:lang w:eastAsia="ar-SA" w:bidi="ar-SA"/>
        </w:rPr>
        <w:t>e</w:t>
      </w:r>
      <w:r w:rsidRPr="001924BC">
        <w:rPr>
          <w:rFonts w:ascii="Calibri Light" w:eastAsia="Times New Roman" w:hAnsi="Calibri Light" w:cs="Calibri Light"/>
          <w:sz w:val="22"/>
          <w:szCs w:val="22"/>
          <w:lang w:eastAsia="ar-SA" w:bidi="ar-SA"/>
        </w:rPr>
        <w:t xml:space="preserve"> par l’émetteur via un tarif d’achat régulé par l’Etat pour une durée de </w:t>
      </w:r>
      <w:r w:rsidR="00E47992" w:rsidRPr="001924BC">
        <w:rPr>
          <w:rFonts w:ascii="Calibri Light" w:eastAsia="Times New Roman" w:hAnsi="Calibri Light" w:cs="Calibri Light"/>
          <w:sz w:val="22"/>
          <w:szCs w:val="22"/>
          <w:lang w:eastAsia="ar-SA" w:bidi="ar-SA"/>
        </w:rPr>
        <w:t>20</w:t>
      </w:r>
      <w:r w:rsidRPr="001924BC">
        <w:rPr>
          <w:rFonts w:ascii="Calibri Light" w:eastAsia="Times New Roman" w:hAnsi="Calibri Light" w:cs="Calibri Light"/>
          <w:sz w:val="22"/>
          <w:szCs w:val="22"/>
          <w:lang w:eastAsia="ar-SA" w:bidi="ar-SA"/>
        </w:rPr>
        <w:t xml:space="preserve"> ans</w:t>
      </w:r>
      <w:r w:rsidR="00E47992" w:rsidRPr="001924BC">
        <w:rPr>
          <w:rFonts w:ascii="Calibri Light" w:eastAsia="Times New Roman" w:hAnsi="Calibri Light" w:cs="Calibri Light"/>
          <w:sz w:val="22"/>
          <w:szCs w:val="22"/>
          <w:lang w:eastAsia="ar-SA" w:bidi="ar-SA"/>
        </w:rPr>
        <w:t xml:space="preserve"> ou</w:t>
      </w:r>
      <w:r w:rsidR="0084538E">
        <w:rPr>
          <w:rFonts w:ascii="Calibri Light" w:eastAsia="Times New Roman" w:hAnsi="Calibri Light" w:cs="Calibri Light"/>
          <w:sz w:val="22"/>
          <w:szCs w:val="22"/>
          <w:lang w:eastAsia="ar-SA" w:bidi="ar-SA"/>
        </w:rPr>
        <w:t xml:space="preserve"> éventuellement </w:t>
      </w:r>
      <w:r w:rsidR="0084538E" w:rsidRPr="001924BC">
        <w:rPr>
          <w:rFonts w:ascii="Calibri Light" w:eastAsia="Times New Roman" w:hAnsi="Calibri Light" w:cs="Calibri Light"/>
          <w:sz w:val="22"/>
          <w:szCs w:val="22"/>
          <w:lang w:eastAsia="ar-SA" w:bidi="ar-SA"/>
        </w:rPr>
        <w:t>à</w:t>
      </w:r>
      <w:r w:rsidR="0084538E">
        <w:rPr>
          <w:rFonts w:ascii="Calibri Light" w:eastAsia="Times New Roman" w:hAnsi="Calibri Light" w:cs="Calibri Light"/>
          <w:sz w:val="22"/>
          <w:szCs w:val="22"/>
          <w:lang w:eastAsia="ar-SA" w:bidi="ar-SA"/>
        </w:rPr>
        <w:t xml:space="preserve"> un distributeur local hors régulation.</w:t>
      </w:r>
    </w:p>
    <w:p w:rsidR="00946B17" w:rsidRPr="001924BC" w:rsidRDefault="00946B17" w:rsidP="00D26076">
      <w:pPr>
        <w:pStyle w:val="Standard"/>
        <w:rPr>
          <w:rFonts w:ascii="Calibri Light" w:eastAsia="Times New Roman" w:hAnsi="Calibri Light" w:cs="Calibri Light"/>
          <w:sz w:val="22"/>
          <w:szCs w:val="22"/>
          <w:lang w:eastAsia="ar-SA" w:bidi="ar-SA"/>
        </w:rPr>
      </w:pPr>
    </w:p>
    <w:p w:rsidR="00946B17" w:rsidRPr="00414BB4" w:rsidRDefault="00946B17" w:rsidP="00946B17">
      <w:pPr>
        <w:pStyle w:val="Standard"/>
        <w:widowControl/>
        <w:numPr>
          <w:ilvl w:val="0"/>
          <w:numId w:val="5"/>
        </w:numPr>
        <w:spacing w:line="276" w:lineRule="auto"/>
      </w:pPr>
      <w:r>
        <w:rPr>
          <w:rFonts w:eastAsia="Calibri"/>
          <w:color w:val="000000"/>
          <w:sz w:val="20"/>
          <w:szCs w:val="20"/>
        </w:rPr>
        <w:t>Représentant légal de la SCIC Icéa : Président Jean-Paul Gardette – Labège</w:t>
      </w:r>
    </w:p>
    <w:p w:rsidR="00946B17" w:rsidRPr="00FC3827" w:rsidRDefault="00946B17" w:rsidP="00946B17">
      <w:pPr>
        <w:pStyle w:val="Standard"/>
        <w:widowControl/>
        <w:numPr>
          <w:ilvl w:val="0"/>
          <w:numId w:val="5"/>
        </w:numPr>
        <w:spacing w:line="276" w:lineRule="auto"/>
      </w:pPr>
      <w:r>
        <w:rPr>
          <w:rFonts w:eastAsia="Calibri"/>
          <w:color w:val="000000"/>
          <w:sz w:val="20"/>
          <w:szCs w:val="20"/>
        </w:rPr>
        <w:t>Le conseil coopératif est constitué de 10 sociétaires</w:t>
      </w:r>
    </w:p>
    <w:p w:rsidR="00D26076" w:rsidRDefault="00D26076" w:rsidP="00D26076">
      <w:pPr>
        <w:pStyle w:val="Standard"/>
      </w:pPr>
    </w:p>
    <w:p w:rsidR="00D26076" w:rsidRPr="007772C5" w:rsidRDefault="00D26076" w:rsidP="00D26076">
      <w:pPr>
        <w:pStyle w:val="Standard"/>
        <w:rPr>
          <w:rFonts w:ascii="Calibri Light" w:eastAsia="Times New Roman" w:hAnsi="Calibri Light" w:cs="Calibri Light"/>
          <w:sz w:val="22"/>
          <w:szCs w:val="22"/>
          <w:lang w:eastAsia="ar-SA" w:bidi="ar-SA"/>
        </w:rPr>
      </w:pPr>
    </w:p>
    <w:p w:rsidR="00D26076" w:rsidRDefault="007772C5" w:rsidP="00D26076">
      <w:pPr>
        <w:pStyle w:val="Standard"/>
        <w:rPr>
          <w:i/>
        </w:rPr>
      </w:pPr>
      <w:r w:rsidRPr="007772C5">
        <w:rPr>
          <w:rFonts w:ascii="Calibri Light" w:eastAsia="Times New Roman" w:hAnsi="Calibri Light" w:cs="Calibri Light"/>
          <w:sz w:val="22"/>
          <w:szCs w:val="22"/>
          <w:lang w:eastAsia="ar-SA" w:bidi="ar-SA"/>
        </w:rPr>
        <w:t>Icéa</w:t>
      </w:r>
      <w:r w:rsidR="00D26076" w:rsidRPr="007772C5">
        <w:rPr>
          <w:rFonts w:ascii="Calibri Light" w:eastAsia="Times New Roman" w:hAnsi="Calibri Light" w:cs="Calibri Light"/>
          <w:sz w:val="22"/>
          <w:szCs w:val="22"/>
          <w:lang w:eastAsia="ar-SA" w:bidi="ar-SA"/>
        </w:rPr>
        <w:t xml:space="preserve"> a déjà réalisé d’autres levées de fonds. </w:t>
      </w:r>
    </w:p>
    <w:p w:rsidR="00D26076" w:rsidRDefault="00D26076" w:rsidP="00D26076">
      <w:pPr>
        <w:pStyle w:val="Standard"/>
      </w:pPr>
    </w:p>
    <w:tbl>
      <w:tblPr>
        <w:tblW w:w="6805" w:type="dxa"/>
        <w:tblLayout w:type="fixed"/>
        <w:tblCellMar>
          <w:left w:w="10" w:type="dxa"/>
          <w:right w:w="10" w:type="dxa"/>
        </w:tblCellMar>
        <w:tblLook w:val="0000" w:firstRow="0" w:lastRow="0" w:firstColumn="0" w:lastColumn="0" w:noHBand="0" w:noVBand="0"/>
      </w:tblPr>
      <w:tblGrid>
        <w:gridCol w:w="2269"/>
        <w:gridCol w:w="2268"/>
        <w:gridCol w:w="2268"/>
      </w:tblGrid>
      <w:tr w:rsidR="00DB5E8E" w:rsidTr="00DB5E8E">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DB5E8E" w:rsidP="00155DD9">
            <w:pPr>
              <w:pStyle w:val="Standard"/>
              <w:spacing w:line="240" w:lineRule="auto"/>
              <w:jc w:val="left"/>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DB5E8E" w:rsidP="00155DD9">
            <w:pPr>
              <w:pStyle w:val="Standard"/>
              <w:spacing w:line="240" w:lineRule="auto"/>
              <w:jc w:val="left"/>
            </w:pPr>
            <w:r>
              <w:t>Parts sociales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DB5E8E" w:rsidP="00155DD9">
            <w:pPr>
              <w:pStyle w:val="Standard"/>
              <w:spacing w:line="240" w:lineRule="auto"/>
              <w:jc w:val="left"/>
            </w:pPr>
            <w:r>
              <w:t>CCA</w:t>
            </w:r>
          </w:p>
        </w:tc>
      </w:tr>
      <w:tr w:rsidR="00DB5E8E" w:rsidTr="00DB5E8E">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DB5E8E" w:rsidP="005D3860">
            <w:pPr>
              <w:pStyle w:val="Standard"/>
              <w:spacing w:line="240" w:lineRule="auto"/>
              <w:jc w:val="left"/>
            </w:pPr>
            <w:r>
              <w:t xml:space="preserve">Du 07/06/2017 au </w:t>
            </w:r>
            <w:r w:rsidR="005D3860">
              <w:t>30</w:t>
            </w:r>
            <w:r>
              <w:t>/06/2020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DB5E8E" w:rsidP="00155DD9">
            <w:pPr>
              <w:pStyle w:val="Standard"/>
              <w:spacing w:line="240" w:lineRule="auto"/>
              <w:jc w:val="left"/>
            </w:pPr>
            <w:r>
              <w:t>119 000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DB5E8E" w:rsidP="00155DD9">
            <w:pPr>
              <w:pStyle w:val="Standard"/>
              <w:spacing w:line="240" w:lineRule="auto"/>
              <w:jc w:val="left"/>
            </w:pPr>
            <w:r>
              <w:t>38 000</w:t>
            </w:r>
          </w:p>
        </w:tc>
      </w:tr>
      <w:tr w:rsidR="00DB5E8E" w:rsidTr="00DB5E8E">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DB5E8E" w:rsidP="00155DD9">
            <w:pPr>
              <w:pStyle w:val="Standard"/>
              <w:spacing w:line="240" w:lineRule="auto"/>
              <w:jc w:val="left"/>
            </w:pPr>
            <w:r>
              <w:t>Valeur nominale des titres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DB5E8E" w:rsidP="00155DD9">
            <w:pPr>
              <w:pStyle w:val="Standard"/>
              <w:spacing w:line="240" w:lineRule="auto"/>
              <w:jc w:val="left"/>
            </w:pPr>
            <w:r>
              <w:t>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DB5E8E" w:rsidP="00155DD9">
            <w:pPr>
              <w:pStyle w:val="Standard"/>
              <w:spacing w:line="240" w:lineRule="auto"/>
              <w:jc w:val="left"/>
            </w:pPr>
          </w:p>
        </w:tc>
      </w:tr>
      <w:tr w:rsidR="00DB5E8E" w:rsidTr="00DB5E8E">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DB5E8E" w:rsidP="00155DD9">
            <w:pPr>
              <w:pStyle w:val="Standard"/>
              <w:spacing w:line="240" w:lineRule="auto"/>
              <w:jc w:val="left"/>
            </w:pPr>
            <w:r>
              <w:t>Nombre de titres souscrits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DB5E8E" w:rsidP="00155DD9">
            <w:pPr>
              <w:pStyle w:val="Standard"/>
              <w:spacing w:line="240" w:lineRule="auto"/>
              <w:jc w:val="left"/>
            </w:pPr>
            <w:r>
              <w:t>2380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5E8E" w:rsidRDefault="005D3860" w:rsidP="00155DD9">
            <w:pPr>
              <w:pStyle w:val="Standard"/>
              <w:spacing w:line="240" w:lineRule="auto"/>
              <w:jc w:val="left"/>
            </w:pPr>
            <w:r>
              <w:t>12</w:t>
            </w:r>
          </w:p>
        </w:tc>
      </w:tr>
    </w:tbl>
    <w:p w:rsidR="00D26076" w:rsidRDefault="00D26076" w:rsidP="00D26076">
      <w:pPr>
        <w:pStyle w:val="Standard"/>
      </w:pPr>
    </w:p>
    <w:p w:rsidR="00D26076" w:rsidRDefault="00D26076" w:rsidP="00D26076">
      <w:pPr>
        <w:pStyle w:val="Standard"/>
      </w:pPr>
    </w:p>
    <w:p w:rsidR="00D26076" w:rsidRDefault="00D26076" w:rsidP="00D26076">
      <w:pPr>
        <w:pStyle w:val="Standard"/>
      </w:pPr>
    </w:p>
    <w:p w:rsidR="00D26076" w:rsidRPr="00FA711B" w:rsidRDefault="00FA711B" w:rsidP="00D26076">
      <w:pPr>
        <w:pStyle w:val="Sous-titre"/>
        <w:spacing w:before="0"/>
        <w:jc w:val="left"/>
        <w:rPr>
          <w:rFonts w:ascii="Calibri Light" w:eastAsia="Times New Roman" w:hAnsi="Calibri Light" w:cs="Calibri Light"/>
          <w:i w:val="0"/>
          <w:color w:val="auto"/>
          <w:sz w:val="22"/>
          <w:szCs w:val="22"/>
          <w:lang w:eastAsia="ar-SA" w:bidi="ar-SA"/>
        </w:rPr>
      </w:pPr>
      <w:bookmarkStart w:id="2" w:name="_c38300fu5lld"/>
      <w:bookmarkEnd w:id="2"/>
      <w:r w:rsidRPr="00FA711B">
        <w:rPr>
          <w:rFonts w:ascii="Calibri Light" w:eastAsia="Times New Roman" w:hAnsi="Calibri Light" w:cs="Calibri Light"/>
          <w:i w:val="0"/>
          <w:color w:val="auto"/>
          <w:sz w:val="22"/>
          <w:szCs w:val="22"/>
          <w:lang w:eastAsia="ar-SA" w:bidi="ar-SA"/>
        </w:rPr>
        <w:lastRenderedPageBreak/>
        <w:t>Dettes</w:t>
      </w:r>
    </w:p>
    <w:tbl>
      <w:tblPr>
        <w:tblW w:w="9629" w:type="dxa"/>
        <w:tblLayout w:type="fixed"/>
        <w:tblCellMar>
          <w:left w:w="10" w:type="dxa"/>
          <w:right w:w="10" w:type="dxa"/>
        </w:tblCellMar>
        <w:tblLook w:val="0000" w:firstRow="0" w:lastRow="0" w:firstColumn="0" w:lastColumn="0" w:noHBand="0" w:noVBand="0"/>
      </w:tblPr>
      <w:tblGrid>
        <w:gridCol w:w="2542"/>
        <w:gridCol w:w="1843"/>
        <w:gridCol w:w="1701"/>
        <w:gridCol w:w="1417"/>
        <w:gridCol w:w="2126"/>
      </w:tblGrid>
      <w:tr w:rsidR="008049F2" w:rsidTr="00C65D2F">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8049F2" w:rsidP="00FA285B">
            <w:pPr>
              <w:pStyle w:val="Standard"/>
              <w:spacing w:line="240" w:lineRule="auto"/>
              <w:jc w:val="right"/>
            </w:pPr>
            <w:r>
              <w:rPr>
                <w:sz w:val="20"/>
                <w:szCs w:val="20"/>
              </w:rPr>
              <w:t>Nature de la dette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9C2FB9" w:rsidP="00FA285B">
            <w:pPr>
              <w:pStyle w:val="Standard"/>
              <w:spacing w:line="240" w:lineRule="auto"/>
              <w:jc w:val="right"/>
            </w:pPr>
            <w:r>
              <w:t>Organisme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8049F2" w:rsidP="00FA285B">
            <w:pPr>
              <w:pStyle w:val="Standard"/>
              <w:spacing w:line="240" w:lineRule="auto"/>
              <w:jc w:val="right"/>
            </w:pPr>
            <w:r>
              <w:rPr>
                <w:sz w:val="20"/>
                <w:szCs w:val="20"/>
              </w:rPr>
              <w:t>Date d’échéance</w:t>
            </w:r>
          </w:p>
        </w:tc>
        <w:tc>
          <w:tcPr>
            <w:tcW w:w="1417" w:type="dxa"/>
            <w:tcBorders>
              <w:top w:val="single" w:sz="8" w:space="0" w:color="000000"/>
              <w:left w:val="single" w:sz="8" w:space="0" w:color="000000"/>
              <w:bottom w:val="single" w:sz="8" w:space="0" w:color="000000"/>
              <w:right w:val="single" w:sz="8" w:space="0" w:color="000000"/>
            </w:tcBorders>
          </w:tcPr>
          <w:p w:rsidR="008049F2" w:rsidRDefault="008049F2" w:rsidP="00FA285B">
            <w:pPr>
              <w:pStyle w:val="Standard"/>
              <w:spacing w:line="240" w:lineRule="auto"/>
              <w:jc w:val="right"/>
              <w:rPr>
                <w:sz w:val="20"/>
                <w:szCs w:val="20"/>
              </w:rPr>
            </w:pPr>
            <w:r>
              <w:rPr>
                <w:sz w:val="20"/>
                <w:szCs w:val="20"/>
              </w:rPr>
              <w:t>Montant initial</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8049F2" w:rsidP="00FA285B">
            <w:pPr>
              <w:pStyle w:val="Standard"/>
              <w:spacing w:line="240" w:lineRule="auto"/>
              <w:jc w:val="right"/>
            </w:pPr>
            <w:r>
              <w:rPr>
                <w:sz w:val="20"/>
                <w:szCs w:val="20"/>
              </w:rPr>
              <w:t>Observations</w:t>
            </w:r>
          </w:p>
        </w:tc>
      </w:tr>
      <w:tr w:rsidR="008049F2" w:rsidTr="00C65D2F">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8049F2" w:rsidP="00FA285B">
            <w:pPr>
              <w:pStyle w:val="Standard"/>
              <w:spacing w:line="240" w:lineRule="auto"/>
              <w:jc w:val="right"/>
            </w:pPr>
            <w:r>
              <w:rPr>
                <w:sz w:val="20"/>
                <w:szCs w:val="20"/>
              </w:rPr>
              <w:t>Emprunt bancaire auprès de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8049F2" w:rsidP="00FA285B">
            <w:pPr>
              <w:pStyle w:val="Standard"/>
              <w:spacing w:line="240" w:lineRule="auto"/>
              <w:jc w:val="right"/>
              <w:rPr>
                <w:sz w:val="20"/>
                <w:szCs w:val="20"/>
              </w:rPr>
            </w:pPr>
            <w:r>
              <w:rPr>
                <w:sz w:val="20"/>
                <w:szCs w:val="20"/>
              </w:rPr>
              <w:t>NEF</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8049F2" w:rsidP="00FA285B">
            <w:pPr>
              <w:pStyle w:val="Standard"/>
              <w:spacing w:line="240" w:lineRule="auto"/>
              <w:jc w:val="right"/>
              <w:rPr>
                <w:sz w:val="20"/>
                <w:szCs w:val="20"/>
              </w:rPr>
            </w:pPr>
            <w:r>
              <w:rPr>
                <w:sz w:val="20"/>
                <w:szCs w:val="20"/>
              </w:rPr>
              <w:t>27/09/2030</w:t>
            </w:r>
          </w:p>
        </w:tc>
        <w:tc>
          <w:tcPr>
            <w:tcW w:w="1417" w:type="dxa"/>
            <w:tcBorders>
              <w:top w:val="single" w:sz="8" w:space="0" w:color="000000"/>
              <w:left w:val="single" w:sz="8" w:space="0" w:color="000000"/>
              <w:bottom w:val="single" w:sz="8" w:space="0" w:color="000000"/>
              <w:right w:val="single" w:sz="8" w:space="0" w:color="000000"/>
            </w:tcBorders>
          </w:tcPr>
          <w:p w:rsidR="008049F2" w:rsidRDefault="008049F2" w:rsidP="00FA285B">
            <w:pPr>
              <w:pStyle w:val="Standard"/>
              <w:spacing w:line="240" w:lineRule="auto"/>
              <w:jc w:val="right"/>
              <w:rPr>
                <w:sz w:val="20"/>
                <w:szCs w:val="20"/>
              </w:rPr>
            </w:pPr>
            <w:r>
              <w:rPr>
                <w:sz w:val="20"/>
                <w:szCs w:val="20"/>
              </w:rPr>
              <w:t>90 000 €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C34058" w:rsidP="00C34058">
            <w:pPr>
              <w:pStyle w:val="Standard"/>
              <w:spacing w:line="240" w:lineRule="auto"/>
              <w:jc w:val="right"/>
            </w:pPr>
            <w:r>
              <w:rPr>
                <w:sz w:val="20"/>
                <w:szCs w:val="20"/>
              </w:rPr>
              <w:t>Délégation de créance</w:t>
            </w:r>
          </w:p>
        </w:tc>
      </w:tr>
      <w:tr w:rsidR="00AB12CA" w:rsidTr="00C65D2F">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B12CA" w:rsidRDefault="00AB12CA" w:rsidP="00FA285B">
            <w:pPr>
              <w:pStyle w:val="Standard"/>
              <w:spacing w:line="240" w:lineRule="auto"/>
              <w:jc w:val="right"/>
              <w:rPr>
                <w:sz w:val="20"/>
                <w:szCs w:val="20"/>
              </w:rPr>
            </w:pPr>
            <w:r w:rsidRPr="00AB12CA">
              <w:rPr>
                <w:sz w:val="20"/>
                <w:szCs w:val="20"/>
              </w:rPr>
              <w:t>Emprunt bancaire auprès de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B12CA" w:rsidRDefault="00AB12CA" w:rsidP="00FA285B">
            <w:pPr>
              <w:pStyle w:val="Standard"/>
              <w:spacing w:line="240" w:lineRule="auto"/>
              <w:jc w:val="right"/>
              <w:rPr>
                <w:sz w:val="20"/>
                <w:szCs w:val="20"/>
              </w:rPr>
            </w:pPr>
            <w:r>
              <w:rPr>
                <w:sz w:val="20"/>
                <w:szCs w:val="20"/>
              </w:rPr>
              <w:t>Crédit Agricole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B12CA" w:rsidRDefault="00C34058" w:rsidP="00FA285B">
            <w:pPr>
              <w:pStyle w:val="Standard"/>
              <w:spacing w:line="240" w:lineRule="auto"/>
              <w:jc w:val="right"/>
              <w:rPr>
                <w:sz w:val="20"/>
                <w:szCs w:val="20"/>
              </w:rPr>
            </w:pPr>
            <w:r>
              <w:rPr>
                <w:sz w:val="20"/>
                <w:szCs w:val="20"/>
              </w:rPr>
              <w:t>20/01/2030</w:t>
            </w:r>
          </w:p>
        </w:tc>
        <w:tc>
          <w:tcPr>
            <w:tcW w:w="1417" w:type="dxa"/>
            <w:tcBorders>
              <w:top w:val="single" w:sz="8" w:space="0" w:color="000000"/>
              <w:left w:val="single" w:sz="8" w:space="0" w:color="000000"/>
              <w:bottom w:val="single" w:sz="8" w:space="0" w:color="000000"/>
              <w:right w:val="single" w:sz="8" w:space="0" w:color="000000"/>
            </w:tcBorders>
          </w:tcPr>
          <w:p w:rsidR="00AB12CA" w:rsidRDefault="00C34058" w:rsidP="00FA285B">
            <w:pPr>
              <w:pStyle w:val="Standard"/>
              <w:spacing w:line="240" w:lineRule="auto"/>
              <w:jc w:val="right"/>
              <w:rPr>
                <w:sz w:val="20"/>
                <w:szCs w:val="20"/>
              </w:rPr>
            </w:pPr>
            <w:r>
              <w:rPr>
                <w:sz w:val="20"/>
                <w:szCs w:val="20"/>
              </w:rPr>
              <w:t>8</w:t>
            </w:r>
            <w:r w:rsidR="009C416D">
              <w:rPr>
                <w:sz w:val="20"/>
                <w:szCs w:val="20"/>
              </w:rPr>
              <w:t>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B12CA" w:rsidRDefault="00C34058" w:rsidP="00FA285B">
            <w:pPr>
              <w:pStyle w:val="Standard"/>
              <w:spacing w:line="240" w:lineRule="auto"/>
              <w:jc w:val="right"/>
              <w:rPr>
                <w:sz w:val="20"/>
                <w:szCs w:val="20"/>
              </w:rPr>
            </w:pPr>
            <w:r w:rsidRPr="00C34058">
              <w:rPr>
                <w:sz w:val="20"/>
                <w:szCs w:val="20"/>
              </w:rPr>
              <w:t>Délégation de créance</w:t>
            </w:r>
          </w:p>
        </w:tc>
      </w:tr>
      <w:tr w:rsidR="008049F2" w:rsidTr="00C65D2F">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8049F2" w:rsidP="00FA285B">
            <w:pPr>
              <w:pStyle w:val="Standard"/>
              <w:spacing w:line="240" w:lineRule="auto"/>
              <w:jc w:val="right"/>
            </w:pPr>
            <w:r>
              <w:rPr>
                <w:sz w:val="20"/>
                <w:szCs w:val="20"/>
              </w:rPr>
              <w:t>Comptes courants d’associés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8049F2" w:rsidP="00FA285B">
            <w:pPr>
              <w:pStyle w:val="Standard"/>
              <w:spacing w:line="240" w:lineRule="auto"/>
              <w:jc w:val="right"/>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9C2FB9" w:rsidP="000B601C">
            <w:pPr>
              <w:pStyle w:val="Standard"/>
              <w:spacing w:line="240" w:lineRule="auto"/>
              <w:jc w:val="right"/>
              <w:rPr>
                <w:sz w:val="20"/>
                <w:szCs w:val="20"/>
              </w:rPr>
            </w:pPr>
            <w:r>
              <w:rPr>
                <w:sz w:val="20"/>
                <w:szCs w:val="20"/>
              </w:rPr>
              <w:t>12/2020</w:t>
            </w:r>
          </w:p>
        </w:tc>
        <w:tc>
          <w:tcPr>
            <w:tcW w:w="1417" w:type="dxa"/>
            <w:tcBorders>
              <w:top w:val="single" w:sz="8" w:space="0" w:color="000000"/>
              <w:left w:val="single" w:sz="8" w:space="0" w:color="000000"/>
              <w:bottom w:val="single" w:sz="8" w:space="0" w:color="000000"/>
              <w:right w:val="single" w:sz="8" w:space="0" w:color="000000"/>
            </w:tcBorders>
          </w:tcPr>
          <w:p w:rsidR="008049F2" w:rsidRDefault="009C2FB9" w:rsidP="00FA285B">
            <w:pPr>
              <w:pStyle w:val="Standard"/>
              <w:spacing w:line="240" w:lineRule="auto"/>
              <w:jc w:val="right"/>
              <w:rPr>
                <w:sz w:val="20"/>
                <w:szCs w:val="20"/>
              </w:rPr>
            </w:pPr>
            <w:r>
              <w:rPr>
                <w:sz w:val="20"/>
                <w:szCs w:val="20"/>
              </w:rPr>
              <w:t>18 000 €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0B601C" w:rsidP="00FA285B">
            <w:pPr>
              <w:pStyle w:val="Standard"/>
              <w:spacing w:line="240" w:lineRule="auto"/>
              <w:jc w:val="right"/>
            </w:pPr>
            <w:r>
              <w:rPr>
                <w:sz w:val="20"/>
                <w:szCs w:val="20"/>
              </w:rPr>
              <w:t>3 personnes</w:t>
            </w:r>
          </w:p>
        </w:tc>
      </w:tr>
      <w:tr w:rsidR="009C2FB9" w:rsidTr="00C65D2F">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C2FB9" w:rsidRDefault="000B601C" w:rsidP="00FA285B">
            <w:pPr>
              <w:pStyle w:val="Standard"/>
              <w:spacing w:line="240" w:lineRule="auto"/>
              <w:jc w:val="right"/>
              <w:rPr>
                <w:sz w:val="20"/>
                <w:szCs w:val="20"/>
              </w:rPr>
            </w:pPr>
            <w:r w:rsidRPr="000B601C">
              <w:rPr>
                <w:sz w:val="20"/>
                <w:szCs w:val="20"/>
              </w:rPr>
              <w:t>Comptes courants d’associés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C2FB9" w:rsidRDefault="009C2FB9" w:rsidP="00FA285B">
            <w:pPr>
              <w:pStyle w:val="Standard"/>
              <w:spacing w:line="240" w:lineRule="auto"/>
              <w:jc w:val="right"/>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C2FB9" w:rsidRDefault="000B601C" w:rsidP="00FA285B">
            <w:pPr>
              <w:pStyle w:val="Standard"/>
              <w:spacing w:line="240" w:lineRule="auto"/>
              <w:jc w:val="right"/>
              <w:rPr>
                <w:sz w:val="20"/>
                <w:szCs w:val="20"/>
              </w:rPr>
            </w:pPr>
            <w:r>
              <w:rPr>
                <w:sz w:val="20"/>
                <w:szCs w:val="20"/>
              </w:rPr>
              <w:t>01/2022</w:t>
            </w:r>
          </w:p>
        </w:tc>
        <w:tc>
          <w:tcPr>
            <w:tcW w:w="1417" w:type="dxa"/>
            <w:tcBorders>
              <w:top w:val="single" w:sz="8" w:space="0" w:color="000000"/>
              <w:left w:val="single" w:sz="8" w:space="0" w:color="000000"/>
              <w:bottom w:val="single" w:sz="8" w:space="0" w:color="000000"/>
              <w:right w:val="single" w:sz="8" w:space="0" w:color="000000"/>
            </w:tcBorders>
          </w:tcPr>
          <w:p w:rsidR="009C2FB9" w:rsidRDefault="000B601C" w:rsidP="00FA285B">
            <w:pPr>
              <w:pStyle w:val="Standard"/>
              <w:spacing w:line="240" w:lineRule="auto"/>
              <w:jc w:val="right"/>
              <w:rPr>
                <w:sz w:val="20"/>
                <w:szCs w:val="20"/>
              </w:rPr>
            </w:pPr>
            <w:r>
              <w:rPr>
                <w:sz w:val="20"/>
                <w:szCs w:val="20"/>
              </w:rPr>
              <w:t xml:space="preserve">20 </w:t>
            </w:r>
            <w:r w:rsidR="005E74BC">
              <w:rPr>
                <w:sz w:val="20"/>
                <w:szCs w:val="20"/>
              </w:rPr>
              <w:t>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C2FB9" w:rsidRDefault="005E74BC" w:rsidP="00FA285B">
            <w:pPr>
              <w:pStyle w:val="Standard"/>
              <w:spacing w:line="240" w:lineRule="auto"/>
              <w:jc w:val="right"/>
              <w:rPr>
                <w:sz w:val="20"/>
                <w:szCs w:val="20"/>
              </w:rPr>
            </w:pPr>
            <w:r>
              <w:rPr>
                <w:sz w:val="20"/>
                <w:szCs w:val="20"/>
              </w:rPr>
              <w:t>9 personnes</w:t>
            </w:r>
          </w:p>
        </w:tc>
      </w:tr>
      <w:tr w:rsidR="008049F2" w:rsidTr="00C65D2F">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8049F2" w:rsidP="00FA285B">
            <w:pPr>
              <w:pStyle w:val="Standard"/>
              <w:spacing w:line="240" w:lineRule="auto"/>
              <w:jc w:val="right"/>
            </w:pPr>
            <w:r>
              <w:rPr>
                <w:sz w:val="20"/>
                <w:szCs w:val="20"/>
              </w:rPr>
              <w:t>Avance remboursable auprès de la collectivité locale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5E74BC" w:rsidP="005E74BC">
            <w:pPr>
              <w:pStyle w:val="Standard"/>
              <w:spacing w:line="240" w:lineRule="auto"/>
              <w:jc w:val="center"/>
              <w:rPr>
                <w:sz w:val="20"/>
                <w:szCs w:val="20"/>
              </w:rPr>
            </w:pPr>
            <w:r>
              <w:rPr>
                <w:sz w:val="20"/>
                <w:szCs w:val="20"/>
              </w:rPr>
              <w:t>Région Occitanie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614A9A" w:rsidP="00FA285B">
            <w:pPr>
              <w:pStyle w:val="Standard"/>
              <w:spacing w:line="240" w:lineRule="auto"/>
              <w:jc w:val="right"/>
              <w:rPr>
                <w:sz w:val="20"/>
                <w:szCs w:val="20"/>
              </w:rPr>
            </w:pPr>
            <w:r>
              <w:rPr>
                <w:sz w:val="20"/>
                <w:szCs w:val="20"/>
              </w:rPr>
              <w:t>31/10/2023</w:t>
            </w:r>
          </w:p>
        </w:tc>
        <w:tc>
          <w:tcPr>
            <w:tcW w:w="1417" w:type="dxa"/>
            <w:tcBorders>
              <w:top w:val="single" w:sz="8" w:space="0" w:color="000000"/>
              <w:left w:val="single" w:sz="8" w:space="0" w:color="000000"/>
              <w:bottom w:val="single" w:sz="8" w:space="0" w:color="000000"/>
              <w:right w:val="single" w:sz="8" w:space="0" w:color="000000"/>
            </w:tcBorders>
          </w:tcPr>
          <w:p w:rsidR="008049F2" w:rsidRDefault="00614A9A" w:rsidP="00FA285B">
            <w:pPr>
              <w:pStyle w:val="Standard"/>
              <w:spacing w:line="240" w:lineRule="auto"/>
              <w:jc w:val="right"/>
              <w:rPr>
                <w:sz w:val="20"/>
                <w:szCs w:val="20"/>
              </w:rPr>
            </w:pPr>
            <w:r>
              <w:rPr>
                <w:sz w:val="20"/>
                <w:szCs w:val="20"/>
              </w:rPr>
              <w:t>50 000 €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9F2" w:rsidRDefault="00614A9A" w:rsidP="00FA285B">
            <w:pPr>
              <w:pStyle w:val="Standard"/>
              <w:spacing w:line="240" w:lineRule="auto"/>
              <w:jc w:val="right"/>
            </w:pPr>
            <w:r>
              <w:t xml:space="preserve">6 échéances de 8333,33 à partir du </w:t>
            </w:r>
            <w:r w:rsidR="00703434">
              <w:t>30 avril 2021</w:t>
            </w:r>
          </w:p>
        </w:tc>
      </w:tr>
    </w:tbl>
    <w:p w:rsidR="00D26076" w:rsidRDefault="00D26076" w:rsidP="00D26076">
      <w:pPr>
        <w:pStyle w:val="Standard"/>
        <w:spacing w:before="40" w:line="240" w:lineRule="auto"/>
        <w:rPr>
          <w:sz w:val="20"/>
          <w:szCs w:val="20"/>
        </w:rPr>
      </w:pPr>
    </w:p>
    <w:p w:rsidR="00D26076" w:rsidRDefault="00D26076" w:rsidP="00D26076">
      <w:pPr>
        <w:pStyle w:val="Standard"/>
        <w:widowControl/>
        <w:numPr>
          <w:ilvl w:val="0"/>
          <w:numId w:val="5"/>
        </w:numPr>
        <w:spacing w:line="276" w:lineRule="auto"/>
      </w:pPr>
      <w:r>
        <w:rPr>
          <w:rFonts w:eastAsia="Calibri"/>
          <w:color w:val="000000"/>
          <w:sz w:val="20"/>
          <w:szCs w:val="20"/>
        </w:rPr>
        <w:t>Aux éléments prévisionnels sur l’activité ;</w:t>
      </w:r>
    </w:p>
    <w:p w:rsidR="00D26076" w:rsidRDefault="00D26076" w:rsidP="00D26076">
      <w:pPr>
        <w:pStyle w:val="Standard"/>
        <w:spacing w:before="40" w:line="240" w:lineRule="auto"/>
      </w:pPr>
    </w:p>
    <w:tbl>
      <w:tblPr>
        <w:tblW w:w="9072" w:type="dxa"/>
        <w:jc w:val="right"/>
        <w:tblLayout w:type="fixed"/>
        <w:tblCellMar>
          <w:left w:w="10" w:type="dxa"/>
          <w:right w:w="10" w:type="dxa"/>
        </w:tblCellMar>
        <w:tblLook w:val="0000" w:firstRow="0" w:lastRow="0" w:firstColumn="0" w:lastColumn="0" w:noHBand="0" w:noVBand="0"/>
      </w:tblPr>
      <w:tblGrid>
        <w:gridCol w:w="2269"/>
        <w:gridCol w:w="2268"/>
        <w:gridCol w:w="2268"/>
        <w:gridCol w:w="2267"/>
      </w:tblGrid>
      <w:tr w:rsidR="00D26076" w:rsidTr="00D278B3">
        <w:trPr>
          <w:jc w:val="right"/>
        </w:trPr>
        <w:tc>
          <w:tcPr>
            <w:tcW w:w="2268" w:type="dxa"/>
            <w:tcBorders>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bookmarkStart w:id="3" w:name="_GoBack"/>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2021</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2022</w:t>
            </w:r>
          </w:p>
        </w:tc>
      </w:tr>
      <w:tr w:rsidR="00D26076" w:rsidTr="00D278B3">
        <w:trPr>
          <w:jc w:val="right"/>
        </w:trPr>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Chiffre d’Affaires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810CD3" w:rsidP="00DB53C7">
            <w:pPr>
              <w:pStyle w:val="Standard"/>
              <w:spacing w:line="240" w:lineRule="auto"/>
              <w:jc w:val="left"/>
              <w:rPr>
                <w:sz w:val="20"/>
                <w:szCs w:val="20"/>
              </w:rPr>
            </w:pPr>
            <w:r>
              <w:rPr>
                <w:sz w:val="20"/>
                <w:szCs w:val="20"/>
              </w:rPr>
              <w:t>7</w:t>
            </w:r>
            <w:r w:rsidR="00DB53C7">
              <w:rPr>
                <w:sz w:val="20"/>
                <w:szCs w:val="20"/>
              </w:rPr>
              <w:t>7 0</w:t>
            </w:r>
            <w:r>
              <w:rPr>
                <w:sz w:val="20"/>
                <w:szCs w:val="20"/>
              </w:rPr>
              <w:t>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B53C7" w:rsidP="00155DD9">
            <w:pPr>
              <w:pStyle w:val="Standard"/>
              <w:spacing w:line="240" w:lineRule="auto"/>
              <w:jc w:val="left"/>
              <w:rPr>
                <w:sz w:val="20"/>
                <w:szCs w:val="20"/>
              </w:rPr>
            </w:pPr>
            <w:r>
              <w:rPr>
                <w:sz w:val="20"/>
                <w:szCs w:val="20"/>
              </w:rPr>
              <w:t>80 000 €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B53C7" w:rsidP="00155DD9">
            <w:pPr>
              <w:pStyle w:val="Standard"/>
              <w:spacing w:line="240" w:lineRule="auto"/>
              <w:jc w:val="left"/>
              <w:rPr>
                <w:sz w:val="20"/>
                <w:szCs w:val="20"/>
              </w:rPr>
            </w:pPr>
            <w:r>
              <w:rPr>
                <w:sz w:val="20"/>
                <w:szCs w:val="20"/>
              </w:rPr>
              <w:t>90 000 €</w:t>
            </w:r>
          </w:p>
        </w:tc>
      </w:tr>
      <w:tr w:rsidR="00D26076" w:rsidTr="00D278B3">
        <w:trPr>
          <w:jc w:val="right"/>
        </w:trPr>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Charges</w:t>
            </w:r>
            <w:r w:rsidR="00DC6029">
              <w:rPr>
                <w:sz w:val="20"/>
                <w:szCs w:val="20"/>
              </w:rPr>
              <w:t xml:space="preserve"> d'exploitation</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302D39" w:rsidP="00155DD9">
            <w:pPr>
              <w:pStyle w:val="Standard"/>
              <w:spacing w:line="240" w:lineRule="auto"/>
              <w:jc w:val="left"/>
              <w:rPr>
                <w:sz w:val="20"/>
                <w:szCs w:val="20"/>
              </w:rPr>
            </w:pPr>
            <w:r>
              <w:rPr>
                <w:sz w:val="20"/>
                <w:szCs w:val="20"/>
              </w:rPr>
              <w:t>9</w:t>
            </w:r>
            <w:r w:rsidR="007C68E1">
              <w:rPr>
                <w:sz w:val="20"/>
                <w:szCs w:val="20"/>
              </w:rPr>
              <w:t xml:space="preserve">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5868B0" w:rsidP="00811134">
            <w:pPr>
              <w:pStyle w:val="Standard"/>
              <w:spacing w:line="240" w:lineRule="auto"/>
              <w:jc w:val="left"/>
              <w:rPr>
                <w:sz w:val="20"/>
                <w:szCs w:val="20"/>
              </w:rPr>
            </w:pPr>
            <w:r>
              <w:rPr>
                <w:sz w:val="20"/>
                <w:szCs w:val="20"/>
              </w:rPr>
              <w:t>1</w:t>
            </w:r>
            <w:r w:rsidR="00811134">
              <w:rPr>
                <w:sz w:val="20"/>
                <w:szCs w:val="20"/>
              </w:rPr>
              <w:t>2</w:t>
            </w:r>
            <w:r>
              <w:rPr>
                <w:sz w:val="20"/>
                <w:szCs w:val="20"/>
              </w:rPr>
              <w:t xml:space="preserve">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811134" w:rsidP="00155DD9">
            <w:pPr>
              <w:pStyle w:val="Standard"/>
              <w:spacing w:line="240" w:lineRule="auto"/>
              <w:jc w:val="left"/>
              <w:rPr>
                <w:sz w:val="20"/>
                <w:szCs w:val="20"/>
              </w:rPr>
            </w:pPr>
            <w:r>
              <w:rPr>
                <w:sz w:val="20"/>
                <w:szCs w:val="20"/>
              </w:rPr>
              <w:t>15 000 €</w:t>
            </w:r>
          </w:p>
        </w:tc>
      </w:tr>
      <w:tr w:rsidR="007C68E1" w:rsidTr="00D278B3">
        <w:trPr>
          <w:jc w:val="right"/>
        </w:trPr>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68E1" w:rsidRDefault="00DC6029" w:rsidP="00155DD9">
            <w:pPr>
              <w:pStyle w:val="Standard"/>
              <w:spacing w:line="240" w:lineRule="auto"/>
              <w:jc w:val="left"/>
              <w:rPr>
                <w:sz w:val="20"/>
                <w:szCs w:val="20"/>
              </w:rPr>
            </w:pPr>
            <w:r>
              <w:rPr>
                <w:sz w:val="20"/>
                <w:szCs w:val="20"/>
              </w:rPr>
              <w:t>Dotation aux amortissements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68E1" w:rsidRDefault="00302D39" w:rsidP="00155DD9">
            <w:pPr>
              <w:pStyle w:val="Standard"/>
              <w:spacing w:line="240" w:lineRule="auto"/>
              <w:jc w:val="left"/>
              <w:rPr>
                <w:sz w:val="20"/>
                <w:szCs w:val="20"/>
              </w:rPr>
            </w:pPr>
            <w:r>
              <w:rPr>
                <w:sz w:val="20"/>
                <w:szCs w:val="20"/>
              </w:rPr>
              <w:t>12 500 €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68E1" w:rsidRDefault="00237E90" w:rsidP="009C0929">
            <w:pPr>
              <w:pStyle w:val="Standard"/>
              <w:spacing w:line="240" w:lineRule="auto"/>
              <w:jc w:val="left"/>
              <w:rPr>
                <w:sz w:val="20"/>
                <w:szCs w:val="20"/>
              </w:rPr>
            </w:pPr>
            <w:r>
              <w:rPr>
                <w:sz w:val="20"/>
                <w:szCs w:val="20"/>
              </w:rPr>
              <w:t>1</w:t>
            </w:r>
            <w:r w:rsidR="009C0929">
              <w:rPr>
                <w:sz w:val="20"/>
                <w:szCs w:val="20"/>
              </w:rPr>
              <w:t>6</w:t>
            </w:r>
            <w:r>
              <w:rPr>
                <w:sz w:val="20"/>
                <w:szCs w:val="20"/>
              </w:rPr>
              <w:t xml:space="preserve">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C68E1" w:rsidRDefault="00237E90" w:rsidP="00155DD9">
            <w:pPr>
              <w:pStyle w:val="Standard"/>
              <w:spacing w:line="240" w:lineRule="auto"/>
              <w:jc w:val="left"/>
              <w:rPr>
                <w:sz w:val="20"/>
                <w:szCs w:val="20"/>
              </w:rPr>
            </w:pPr>
            <w:r>
              <w:rPr>
                <w:sz w:val="20"/>
                <w:szCs w:val="20"/>
              </w:rPr>
              <w:t>21 000 €</w:t>
            </w:r>
          </w:p>
        </w:tc>
      </w:tr>
      <w:tr w:rsidR="00D26076" w:rsidTr="00D278B3">
        <w:trPr>
          <w:jc w:val="right"/>
        </w:trPr>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Résultat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302D39" w:rsidP="00155DD9">
            <w:pPr>
              <w:pStyle w:val="Standard"/>
              <w:spacing w:line="240" w:lineRule="auto"/>
              <w:jc w:val="left"/>
              <w:rPr>
                <w:sz w:val="20"/>
                <w:szCs w:val="20"/>
              </w:rPr>
            </w:pPr>
            <w:r>
              <w:rPr>
                <w:sz w:val="20"/>
                <w:szCs w:val="20"/>
              </w:rPr>
              <w:t>55 500</w:t>
            </w:r>
            <w:r w:rsidR="00D278B3">
              <w:rPr>
                <w:sz w:val="20"/>
                <w:szCs w:val="20"/>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237E90" w:rsidP="009C0929">
            <w:pPr>
              <w:pStyle w:val="Standard"/>
              <w:spacing w:line="240" w:lineRule="auto"/>
              <w:jc w:val="left"/>
              <w:rPr>
                <w:sz w:val="20"/>
                <w:szCs w:val="20"/>
              </w:rPr>
            </w:pPr>
            <w:r>
              <w:rPr>
                <w:sz w:val="20"/>
                <w:szCs w:val="20"/>
              </w:rPr>
              <w:t>5</w:t>
            </w:r>
            <w:r w:rsidR="009C0929">
              <w:rPr>
                <w:sz w:val="20"/>
                <w:szCs w:val="20"/>
              </w:rPr>
              <w:t>2</w:t>
            </w:r>
            <w:r>
              <w:rPr>
                <w:sz w:val="20"/>
                <w:szCs w:val="20"/>
              </w:rPr>
              <w:t xml:space="preserve">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237E90" w:rsidP="00155DD9">
            <w:pPr>
              <w:pStyle w:val="Standard"/>
              <w:spacing w:line="240" w:lineRule="auto"/>
              <w:jc w:val="left"/>
              <w:rPr>
                <w:sz w:val="20"/>
                <w:szCs w:val="20"/>
              </w:rPr>
            </w:pPr>
            <w:r>
              <w:rPr>
                <w:sz w:val="20"/>
                <w:szCs w:val="20"/>
              </w:rPr>
              <w:t>54 000 €</w:t>
            </w:r>
          </w:p>
        </w:tc>
      </w:tr>
      <w:bookmarkEnd w:id="3"/>
    </w:tbl>
    <w:p w:rsidR="00D26076" w:rsidRDefault="00D26076" w:rsidP="00D26076">
      <w:pPr>
        <w:pStyle w:val="Standard"/>
        <w:spacing w:before="40" w:line="240" w:lineRule="auto"/>
        <w:rPr>
          <w:sz w:val="20"/>
          <w:szCs w:val="20"/>
          <w:shd w:val="clear" w:color="auto" w:fill="A4C2F4"/>
        </w:rPr>
      </w:pPr>
    </w:p>
    <w:p w:rsidR="00FC3827" w:rsidRDefault="00FC3827" w:rsidP="00FC3827">
      <w:pPr>
        <w:pStyle w:val="Standard"/>
        <w:widowControl/>
        <w:spacing w:line="276" w:lineRule="auto"/>
        <w:ind w:left="360"/>
      </w:pPr>
    </w:p>
    <w:p w:rsidR="00D26076" w:rsidRDefault="00D26076" w:rsidP="00D26076">
      <w:pPr>
        <w:pStyle w:val="Standard"/>
      </w:pPr>
      <w:r>
        <w:rPr>
          <w:sz w:val="20"/>
          <w:szCs w:val="20"/>
        </w:rPr>
        <w:t xml:space="preserve">Une copie des rapports des organes sociaux à l’attention des assemblées générales du dernier exercice et de l’exercice en cours peut être obtenue sur demande à l’adresse suivante : </w:t>
      </w:r>
      <w:r w:rsidR="00FC3827">
        <w:rPr>
          <w:sz w:val="20"/>
          <w:szCs w:val="20"/>
        </w:rPr>
        <w:t>contact@icea-enr.fr</w:t>
      </w:r>
    </w:p>
    <w:p w:rsidR="00D26076" w:rsidRDefault="00D26076" w:rsidP="00D26076">
      <w:pPr>
        <w:pStyle w:val="Titre1"/>
      </w:pPr>
      <w:bookmarkStart w:id="4" w:name="_30j0zll"/>
      <w:bookmarkEnd w:id="4"/>
      <w:r>
        <w:t xml:space="preserve">II – Risques liés à l’activité de l’émetteur </w:t>
      </w:r>
      <w:r w:rsidR="00375392">
        <w:t>:</w:t>
      </w:r>
    </w:p>
    <w:p w:rsidR="00D26076" w:rsidRDefault="00D26076" w:rsidP="00D26076">
      <w:pPr>
        <w:pStyle w:val="Standard"/>
        <w:ind w:left="360"/>
      </w:pPr>
      <w:r>
        <w:t>Les principaux risques liés à l’investissement en capital dans des installations de production d’énergie renouvelable sont :</w:t>
      </w:r>
    </w:p>
    <w:p w:rsidR="00D26076" w:rsidRDefault="00D26076" w:rsidP="00D26076">
      <w:pPr>
        <w:pStyle w:val="Standard"/>
        <w:spacing w:before="200" w:line="240" w:lineRule="auto"/>
      </w:pPr>
      <w:r>
        <w:rPr>
          <w:b/>
        </w:rPr>
        <w:t>1. Risques liés à la production d’énergie renouvelable :</w:t>
      </w:r>
    </w:p>
    <w:p w:rsidR="00D26076" w:rsidRDefault="00D26076" w:rsidP="00D26076">
      <w:pPr>
        <w:pStyle w:val="Standard"/>
        <w:widowControl/>
        <w:numPr>
          <w:ilvl w:val="0"/>
          <w:numId w:val="25"/>
        </w:numPr>
        <w:spacing w:before="200" w:line="276" w:lineRule="auto"/>
        <w:ind w:left="425"/>
      </w:pPr>
      <w:r>
        <w:t>Risques de développement :</w:t>
      </w:r>
    </w:p>
    <w:p w:rsidR="00D26076" w:rsidRDefault="00D26076" w:rsidP="00D26076">
      <w:pPr>
        <w:pStyle w:val="Standard"/>
        <w:widowControl/>
        <w:numPr>
          <w:ilvl w:val="1"/>
          <w:numId w:val="8"/>
        </w:numPr>
        <w:spacing w:line="276" w:lineRule="auto"/>
        <w:ind w:hanging="360"/>
      </w:pPr>
      <w:r>
        <w:t xml:space="preserve">des études sont réalisées. </w:t>
      </w:r>
      <w:r>
        <w:rPr>
          <w:rFonts w:eastAsia="Calibri"/>
          <w:color w:val="000000"/>
          <w:sz w:val="22"/>
          <w:szCs w:val="22"/>
        </w:rPr>
        <w:t>Elles peuvent chacune conduire à abandonner un ou des projets d’installations</w:t>
      </w:r>
      <w:r>
        <w:t xml:space="preserve">, ce qui conduit d’une part à la perte des sommes engagées dans la réalisation de ces études, pourra </w:t>
      </w:r>
      <w:r>
        <w:rPr>
          <w:rFonts w:eastAsia="Calibri"/>
          <w:color w:val="000000"/>
          <w:sz w:val="22"/>
          <w:szCs w:val="22"/>
        </w:rPr>
        <w:t>remettre en question le plan de financement global</w:t>
      </w:r>
    </w:p>
    <w:p w:rsidR="00D26076" w:rsidRDefault="00D26076" w:rsidP="00D26076">
      <w:pPr>
        <w:pStyle w:val="Standard"/>
        <w:widowControl/>
        <w:numPr>
          <w:ilvl w:val="1"/>
          <w:numId w:val="8"/>
        </w:numPr>
        <w:spacing w:line="276" w:lineRule="auto"/>
        <w:ind w:hanging="360"/>
      </w:pPr>
      <w:r>
        <w:t>Non obtention des autorisations : urbanisme, autorisation d’exploitation, recours</w:t>
      </w:r>
    </w:p>
    <w:p w:rsidR="00D26076" w:rsidRDefault="00D26076" w:rsidP="00D26076">
      <w:pPr>
        <w:pStyle w:val="Standard"/>
        <w:widowControl/>
        <w:numPr>
          <w:ilvl w:val="1"/>
          <w:numId w:val="8"/>
        </w:numPr>
        <w:spacing w:line="276" w:lineRule="auto"/>
        <w:ind w:hanging="360"/>
      </w:pPr>
      <w:r>
        <w:t>Infaisabilité du raccordement au réseau de distribution d’énergie (préciser le type de vecteur (gaz, électricité, réseau de chaleur) dans des conditions économiques viables</w:t>
      </w:r>
    </w:p>
    <w:p w:rsidR="00D26076" w:rsidRDefault="00D26076" w:rsidP="00D26076">
      <w:pPr>
        <w:pStyle w:val="Standard"/>
        <w:widowControl/>
        <w:numPr>
          <w:ilvl w:val="1"/>
          <w:numId w:val="8"/>
        </w:numPr>
        <w:spacing w:line="276" w:lineRule="auto"/>
        <w:ind w:hanging="360"/>
      </w:pPr>
      <w:r>
        <w:t>Faisabilité technique des installations (étude productible/vent/structure, signature d’un bail adapté à la durée du projet etc</w:t>
      </w:r>
      <w:r w:rsidR="00A90563">
        <w:t>.)</w:t>
      </w:r>
    </w:p>
    <w:p w:rsidR="00D26076" w:rsidRDefault="00D26076" w:rsidP="00D26076">
      <w:pPr>
        <w:pStyle w:val="Standard"/>
        <w:numPr>
          <w:ilvl w:val="1"/>
          <w:numId w:val="8"/>
        </w:numPr>
        <w:spacing w:line="276" w:lineRule="auto"/>
        <w:ind w:hanging="360"/>
      </w:pPr>
      <w:r>
        <w:t>Aléas pendant le(s) chantier(s) de construction (retard de livraison, défaillance d’un fournisseur ou prestataire)</w:t>
      </w:r>
    </w:p>
    <w:p w:rsidR="00D26076" w:rsidRDefault="00D26076" w:rsidP="00D26076">
      <w:pPr>
        <w:pStyle w:val="Standard"/>
      </w:pPr>
    </w:p>
    <w:p w:rsidR="00D26076" w:rsidRDefault="00D26076" w:rsidP="00D26076">
      <w:pPr>
        <w:pStyle w:val="Standard"/>
        <w:widowControl/>
        <w:numPr>
          <w:ilvl w:val="0"/>
          <w:numId w:val="8"/>
        </w:numPr>
        <w:spacing w:line="276" w:lineRule="auto"/>
      </w:pPr>
      <w:r>
        <w:t>Risques de f</w:t>
      </w:r>
      <w:r>
        <w:rPr>
          <w:rFonts w:eastAsia="Calibri"/>
          <w:color w:val="000000"/>
          <w:sz w:val="22"/>
          <w:szCs w:val="22"/>
        </w:rPr>
        <w:t xml:space="preserve">inancement et assurances : la réalisation </w:t>
      </w:r>
      <w:r>
        <w:rPr>
          <w:sz w:val="22"/>
          <w:szCs w:val="22"/>
        </w:rPr>
        <w:t>d’une installation</w:t>
      </w:r>
      <w:r>
        <w:rPr>
          <w:rFonts w:eastAsia="Calibri"/>
          <w:color w:val="000000"/>
          <w:sz w:val="22"/>
          <w:szCs w:val="22"/>
        </w:rPr>
        <w:t xml:space="preserve"> est soumise à l’obtention d’un prêt bancaire dans des conditions de taux, de durée et de </w:t>
      </w:r>
      <w:r>
        <w:t>garanties</w:t>
      </w:r>
      <w:r>
        <w:rPr>
          <w:rFonts w:eastAsia="Calibri"/>
          <w:color w:val="000000"/>
          <w:sz w:val="22"/>
          <w:szCs w:val="22"/>
        </w:rPr>
        <w:t xml:space="preserve"> favorable au projet et d’une police d’assurances adéquate.</w:t>
      </w:r>
    </w:p>
    <w:p w:rsidR="00D26076" w:rsidRDefault="00D26076" w:rsidP="00D26076">
      <w:pPr>
        <w:pStyle w:val="Standard"/>
        <w:widowControl/>
        <w:spacing w:line="276" w:lineRule="auto"/>
        <w:ind w:left="720"/>
      </w:pPr>
    </w:p>
    <w:p w:rsidR="00D26076" w:rsidRDefault="00D26076" w:rsidP="00D26076">
      <w:pPr>
        <w:pStyle w:val="Standard"/>
        <w:widowControl/>
        <w:numPr>
          <w:ilvl w:val="0"/>
          <w:numId w:val="8"/>
        </w:numPr>
        <w:spacing w:line="276" w:lineRule="auto"/>
      </w:pPr>
      <w:r>
        <w:t>Risques d’exploitation :</w:t>
      </w:r>
    </w:p>
    <w:p w:rsidR="00D26076" w:rsidRDefault="00D26076" w:rsidP="00D26076">
      <w:pPr>
        <w:pStyle w:val="Standard"/>
        <w:widowControl/>
        <w:numPr>
          <w:ilvl w:val="1"/>
          <w:numId w:val="8"/>
        </w:numPr>
        <w:spacing w:line="276" w:lineRule="auto"/>
        <w:ind w:hanging="360"/>
      </w:pPr>
      <w:r>
        <w:t xml:space="preserve">risque de variation à la baisse du prix de vente de l’électricité, impactant la capacité </w:t>
      </w:r>
      <w:r w:rsidR="00D66AEB">
        <w:t xml:space="preserve">des </w:t>
      </w:r>
      <w:r>
        <w:t>installations à atteindre un équilibre économique, et donc à la société de trouver des opportunités d’investissement.</w:t>
      </w:r>
    </w:p>
    <w:p w:rsidR="00D26076" w:rsidRDefault="00D26076" w:rsidP="00D26076">
      <w:pPr>
        <w:pStyle w:val="Standard"/>
        <w:widowControl/>
        <w:numPr>
          <w:ilvl w:val="1"/>
          <w:numId w:val="8"/>
        </w:numPr>
        <w:spacing w:line="276" w:lineRule="auto"/>
        <w:ind w:hanging="360"/>
      </w:pPr>
      <w:r>
        <w:t>risque de modification des contrats en cours de la vie de l’installation (bail, assurance, …)</w:t>
      </w:r>
    </w:p>
    <w:p w:rsidR="00D26076" w:rsidRDefault="00D26076" w:rsidP="00D26076">
      <w:pPr>
        <w:pStyle w:val="Standard"/>
        <w:widowControl/>
        <w:spacing w:line="276" w:lineRule="auto"/>
        <w:ind w:left="850"/>
      </w:pPr>
    </w:p>
    <w:p w:rsidR="00D26076" w:rsidRDefault="00D26076" w:rsidP="00D26076">
      <w:pPr>
        <w:pStyle w:val="Standard"/>
      </w:pPr>
    </w:p>
    <w:p w:rsidR="00D26076" w:rsidRDefault="00D26076" w:rsidP="00D26076">
      <w:pPr>
        <w:pStyle w:val="Standard"/>
        <w:widowControl/>
        <w:spacing w:after="160" w:line="276" w:lineRule="auto"/>
      </w:pPr>
      <w:r>
        <w:rPr>
          <w:b/>
        </w:rPr>
        <w:t>2. Risques liés à la situation financière de la société :</w:t>
      </w:r>
    </w:p>
    <w:p w:rsidR="00A96BEC" w:rsidRDefault="00D26076" w:rsidP="00D2671F">
      <w:pPr>
        <w:pStyle w:val="Standard"/>
        <w:widowControl/>
        <w:numPr>
          <w:ilvl w:val="0"/>
          <w:numId w:val="8"/>
        </w:numPr>
        <w:spacing w:line="276" w:lineRule="auto"/>
      </w:pPr>
      <w:r>
        <w:rPr>
          <w:rFonts w:eastAsia="Calibri"/>
          <w:color w:val="000000"/>
          <w:sz w:val="22"/>
          <w:szCs w:val="22"/>
        </w:rPr>
        <w:t>Risque lié à la variabilité du capital : chaque actionnaire peut se retirer de la société s’il le souhaite</w:t>
      </w:r>
      <w:r>
        <w:t>, entraînant une réduction du capital de la société. Plusieurs dispositions des statuts limitent ce risque</w:t>
      </w:r>
      <w:r w:rsidR="00D2671F">
        <w:t>, dont le</w:t>
      </w:r>
      <w:r w:rsidR="00A96BEC">
        <w:t xml:space="preserve"> délai</w:t>
      </w:r>
      <w:r>
        <w:t xml:space="preserve"> de remboursement</w:t>
      </w:r>
      <w:r w:rsidR="00EF49CE">
        <w:t xml:space="preserve"> </w:t>
      </w:r>
      <w:r w:rsidR="00A96BEC">
        <w:t>des parts sociales</w:t>
      </w:r>
      <w:r w:rsidR="00B85B7E">
        <w:t xml:space="preserve"> qui</w:t>
      </w:r>
      <w:r>
        <w:t xml:space="preserve"> </w:t>
      </w:r>
      <w:r w:rsidR="00A96BEC">
        <w:t>peut aller jusqu’à 5 ans</w:t>
      </w:r>
      <w:r w:rsidR="00B85B7E">
        <w:t>.</w:t>
      </w:r>
    </w:p>
    <w:p w:rsidR="00D26076" w:rsidRDefault="00D26076" w:rsidP="00D2671F">
      <w:pPr>
        <w:pStyle w:val="Standard"/>
        <w:widowControl/>
        <w:spacing w:line="276" w:lineRule="auto"/>
        <w:ind w:left="490"/>
      </w:pPr>
      <w:r>
        <w:br/>
      </w:r>
    </w:p>
    <w:p w:rsidR="00D26076" w:rsidRDefault="00D26076" w:rsidP="00D26076">
      <w:pPr>
        <w:pStyle w:val="Standard"/>
        <w:widowControl/>
        <w:spacing w:line="276" w:lineRule="auto"/>
      </w:pPr>
      <w:r>
        <w:t xml:space="preserve">Nota : Le risque de limitation de la capacité des souscripteurs à récupérer leurs apports est </w:t>
      </w:r>
      <w:r w:rsidR="00566C23">
        <w:t>décrit</w:t>
      </w:r>
      <w:r>
        <w:t xml:space="preserve"> au chapitre IV.</w:t>
      </w:r>
    </w:p>
    <w:p w:rsidR="00D26076" w:rsidRDefault="00D26076" w:rsidP="00D26076">
      <w:pPr>
        <w:pStyle w:val="Standard"/>
        <w:widowControl/>
        <w:spacing w:line="276" w:lineRule="auto"/>
        <w:rPr>
          <w:shd w:val="clear" w:color="auto" w:fill="FFFF00"/>
        </w:rPr>
      </w:pPr>
    </w:p>
    <w:p w:rsidR="00D26076" w:rsidRDefault="00AC196C" w:rsidP="00D26076">
      <w:pPr>
        <w:pStyle w:val="Standard"/>
        <w:widowControl/>
        <w:numPr>
          <w:ilvl w:val="0"/>
          <w:numId w:val="8"/>
        </w:numPr>
        <w:spacing w:line="276" w:lineRule="auto"/>
      </w:pPr>
      <w:r>
        <w:t xml:space="preserve">Caractéristique de </w:t>
      </w:r>
      <w:r w:rsidR="00D26076" w:rsidRPr="00476AED">
        <w:t xml:space="preserve">la situation financière de la société. Actuellement, avant la réalisation de la levée de fonds de la présente offre, la société </w:t>
      </w:r>
      <w:r w:rsidR="00476AED" w:rsidRPr="00476AED">
        <w:t xml:space="preserve">dispose, </w:t>
      </w:r>
      <w:r w:rsidR="00D26076" w:rsidRPr="00476AED">
        <w:t>d'un fonds de roulement net suffisant pour faire face à ses obligations et à ses besoins de trésorerie pour les 6 prochains mois </w:t>
      </w:r>
    </w:p>
    <w:p w:rsidR="00F65B8A" w:rsidRPr="00F65B8A" w:rsidRDefault="00F65B8A" w:rsidP="00F65B8A">
      <w:pPr>
        <w:pStyle w:val="Standard"/>
        <w:widowControl/>
        <w:spacing w:line="276" w:lineRule="auto"/>
        <w:ind w:left="65"/>
        <w:rPr>
          <w:b/>
        </w:rPr>
      </w:pPr>
    </w:p>
    <w:p w:rsidR="007300C1" w:rsidRPr="00F65B8A" w:rsidRDefault="00F65B8A" w:rsidP="00F65B8A">
      <w:pPr>
        <w:pStyle w:val="Standard"/>
        <w:widowControl/>
        <w:spacing w:line="276" w:lineRule="auto"/>
        <w:ind w:left="65"/>
        <w:rPr>
          <w:b/>
        </w:rPr>
      </w:pPr>
      <w:r w:rsidRPr="00F65B8A">
        <w:rPr>
          <w:b/>
        </w:rPr>
        <w:t>3. Risques divers</w:t>
      </w:r>
      <w:r>
        <w:rPr>
          <w:b/>
        </w:rPr>
        <w:t xml:space="preserve"> :</w:t>
      </w:r>
    </w:p>
    <w:p w:rsidR="00D26076" w:rsidRDefault="00D26076" w:rsidP="00D26076">
      <w:pPr>
        <w:pStyle w:val="Standard"/>
        <w:widowControl/>
        <w:spacing w:line="276" w:lineRule="auto"/>
        <w:ind w:left="425"/>
      </w:pPr>
    </w:p>
    <w:p w:rsidR="00D26076" w:rsidRDefault="00D26076" w:rsidP="00D26076">
      <w:pPr>
        <w:pStyle w:val="Standard"/>
        <w:numPr>
          <w:ilvl w:val="0"/>
          <w:numId w:val="26"/>
        </w:numPr>
        <w:ind w:left="425"/>
      </w:pPr>
      <w:r>
        <w:t>Risque lié au caractère essentiellement bénévole des personnes impliquées dans la gestion et le fonctionnement de la société (risque de faible disponibilité des personnes notamment).</w:t>
      </w:r>
    </w:p>
    <w:p w:rsidR="00D26076" w:rsidRDefault="00D26076" w:rsidP="00D26076">
      <w:pPr>
        <w:pStyle w:val="Standard"/>
      </w:pPr>
    </w:p>
    <w:p w:rsidR="00D26076" w:rsidRDefault="00D26076" w:rsidP="00D26076">
      <w:pPr>
        <w:pStyle w:val="Titre1"/>
      </w:pPr>
      <w:bookmarkStart w:id="5" w:name="_1fob9te"/>
      <w:bookmarkEnd w:id="5"/>
      <w:r>
        <w:t>III – Capital social</w:t>
      </w:r>
    </w:p>
    <w:p w:rsidR="00D26076" w:rsidRPr="00EE1F51" w:rsidRDefault="00D26076" w:rsidP="00EE1F51">
      <w:pPr>
        <w:pStyle w:val="Standard"/>
        <w:spacing w:before="40"/>
        <w:ind w:left="285"/>
      </w:pPr>
      <w:r w:rsidRPr="009B49C4">
        <w:t xml:space="preserve">Le capital social de la société est intégralement libéré. À l’issue de l’offre, le capital social de la société sera composé d’une seule catégorie </w:t>
      </w:r>
      <w:r w:rsidR="009B49C4" w:rsidRPr="009B49C4">
        <w:t>de parts sociales</w:t>
      </w:r>
      <w:r w:rsidRPr="009B49C4">
        <w:t xml:space="preserve"> conférant des droits identiques.</w:t>
      </w:r>
      <w:r w:rsidR="00EE1F51">
        <w:t xml:space="preserve"> </w:t>
      </w:r>
      <w:r w:rsidR="007708D9">
        <w:t xml:space="preserve">Le </w:t>
      </w:r>
      <w:r w:rsidR="00B7636C">
        <w:t>capital</w:t>
      </w:r>
      <w:r w:rsidR="007708D9">
        <w:t xml:space="preserve"> social de la SCIC Icéa étant variable, </w:t>
      </w:r>
      <w:r w:rsidR="00B7636C">
        <w:t xml:space="preserve">a un minimum </w:t>
      </w:r>
      <w:r w:rsidR="00CF6DFF">
        <w:t>de 8</w:t>
      </w:r>
      <w:r w:rsidR="00B7636C">
        <w:t xml:space="preserve"> 000 €</w:t>
      </w:r>
      <w:r w:rsidR="00EE1F51">
        <w:t xml:space="preserve"> et</w:t>
      </w:r>
      <w:r w:rsidR="00EE1F51">
        <w:t xml:space="preserve"> n'a pas de plafond maximum</w:t>
      </w:r>
      <w:r w:rsidR="00EE1F51">
        <w:t>.</w:t>
      </w:r>
      <w:r w:rsidR="00EE1F51">
        <w:t xml:space="preserve"> </w:t>
      </w:r>
    </w:p>
    <w:p w:rsidR="00D26076" w:rsidRDefault="00D26076" w:rsidP="00D26076">
      <w:pPr>
        <w:pStyle w:val="Standard"/>
        <w:rPr>
          <w:i/>
          <w:shd w:val="clear" w:color="auto" w:fill="A4C2F4"/>
        </w:rPr>
      </w:pPr>
    </w:p>
    <w:p w:rsidR="00D26076" w:rsidRDefault="00D26076" w:rsidP="00D26076">
      <w:pPr>
        <w:pStyle w:val="Standard"/>
      </w:pPr>
    </w:p>
    <w:p w:rsidR="00D26076" w:rsidRDefault="00D26076" w:rsidP="00D26076">
      <w:pPr>
        <w:pStyle w:val="Standard"/>
      </w:pPr>
      <w:r>
        <w:t>Tableau décrivant la répartition de l'actionnariat de la société</w:t>
      </w:r>
    </w:p>
    <w:p w:rsidR="00D26076" w:rsidRDefault="00D26076" w:rsidP="00D26076">
      <w:pPr>
        <w:pStyle w:val="Standard"/>
      </w:pPr>
    </w:p>
    <w:tbl>
      <w:tblPr>
        <w:tblW w:w="7562" w:type="dxa"/>
        <w:tblLayout w:type="fixed"/>
        <w:tblCellMar>
          <w:left w:w="10" w:type="dxa"/>
          <w:right w:w="10" w:type="dxa"/>
        </w:tblCellMar>
        <w:tblLook w:val="0000" w:firstRow="0" w:lastRow="0" w:firstColumn="0" w:lastColumn="0" w:noHBand="0" w:noVBand="0"/>
      </w:tblPr>
      <w:tblGrid>
        <w:gridCol w:w="1513"/>
        <w:gridCol w:w="1512"/>
        <w:gridCol w:w="1512"/>
        <w:gridCol w:w="1513"/>
        <w:gridCol w:w="1512"/>
      </w:tblGrid>
      <w:tr w:rsidR="00987BD8" w:rsidTr="00987BD8">
        <w:tc>
          <w:tcPr>
            <w:tcW w:w="1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7BD8" w:rsidRDefault="00987BD8" w:rsidP="00155DD9">
            <w:pPr>
              <w:pStyle w:val="Standard"/>
              <w:spacing w:line="240" w:lineRule="auto"/>
              <w:jc w:val="left"/>
            </w:pPr>
            <w:r>
              <w:t>catégorie</w:t>
            </w: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7BD8" w:rsidRDefault="00987BD8" w:rsidP="00155DD9">
            <w:pPr>
              <w:pStyle w:val="Standard"/>
              <w:spacing w:line="240" w:lineRule="auto"/>
              <w:jc w:val="left"/>
            </w:pPr>
            <w:r>
              <w:t>Nb de personnes</w:t>
            </w: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7BD8" w:rsidRDefault="00987BD8" w:rsidP="00155DD9">
            <w:pPr>
              <w:pStyle w:val="Standard"/>
              <w:spacing w:line="240" w:lineRule="auto"/>
              <w:jc w:val="left"/>
            </w:pPr>
            <w:r>
              <w:t>Nb de parts</w:t>
            </w:r>
          </w:p>
        </w:tc>
        <w:tc>
          <w:tcPr>
            <w:tcW w:w="1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7BD8" w:rsidRDefault="00987BD8" w:rsidP="00155DD9">
            <w:pPr>
              <w:pStyle w:val="Standard"/>
              <w:spacing w:line="240" w:lineRule="auto"/>
              <w:jc w:val="left"/>
            </w:pPr>
            <w:r>
              <w:t>capital</w:t>
            </w: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7BD8" w:rsidRDefault="00987BD8" w:rsidP="00155DD9">
            <w:pPr>
              <w:pStyle w:val="Standard"/>
              <w:spacing w:line="240" w:lineRule="auto"/>
              <w:jc w:val="left"/>
            </w:pPr>
            <w:r>
              <w:t>% du total</w:t>
            </w:r>
          </w:p>
        </w:tc>
      </w:tr>
      <w:tr w:rsidR="00987BD8" w:rsidTr="00987BD8">
        <w:tc>
          <w:tcPr>
            <w:tcW w:w="1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7BD8" w:rsidRDefault="00987BD8" w:rsidP="00155DD9">
            <w:pPr>
              <w:pStyle w:val="Standard"/>
              <w:spacing w:line="240" w:lineRule="auto"/>
              <w:jc w:val="left"/>
            </w:pP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7BD8" w:rsidRDefault="00987BD8" w:rsidP="00155DD9">
            <w:pPr>
              <w:pStyle w:val="Standard"/>
              <w:spacing w:line="240" w:lineRule="auto"/>
              <w:jc w:val="left"/>
            </w:pP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7BD8" w:rsidRDefault="00987BD8" w:rsidP="00155DD9">
            <w:pPr>
              <w:pStyle w:val="Standard"/>
              <w:spacing w:line="240" w:lineRule="auto"/>
              <w:jc w:val="left"/>
            </w:pPr>
          </w:p>
        </w:tc>
        <w:tc>
          <w:tcPr>
            <w:tcW w:w="1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7BD8" w:rsidRDefault="00987BD8" w:rsidP="00155DD9">
            <w:pPr>
              <w:pStyle w:val="Standard"/>
              <w:spacing w:line="240" w:lineRule="auto"/>
              <w:jc w:val="left"/>
            </w:pP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7BD8" w:rsidRDefault="00987BD8" w:rsidP="00155DD9">
            <w:pPr>
              <w:pStyle w:val="Standard"/>
              <w:spacing w:line="240" w:lineRule="auto"/>
              <w:jc w:val="left"/>
            </w:pPr>
          </w:p>
        </w:tc>
      </w:tr>
    </w:tbl>
    <w:p w:rsidR="00D26076" w:rsidRDefault="00D26076" w:rsidP="00D26076">
      <w:pPr>
        <w:pStyle w:val="Standard"/>
      </w:pPr>
    </w:p>
    <w:p w:rsidR="00D26076" w:rsidRDefault="00D26076" w:rsidP="00D26076">
      <w:pPr>
        <w:pStyle w:val="Standard"/>
      </w:pPr>
      <w:r>
        <w:t xml:space="preserve">Chaque action donne droit à une part proportionnelle à la quotité du capital social qu'elle représente dans </w:t>
      </w:r>
      <w:r>
        <w:lastRenderedPageBreak/>
        <w:t>les bénéfices et dans l’actif social.</w:t>
      </w:r>
    </w:p>
    <w:p w:rsidR="00D26076" w:rsidRDefault="00D26076" w:rsidP="00D26076">
      <w:pPr>
        <w:pStyle w:val="Standard"/>
        <w:spacing w:line="240" w:lineRule="auto"/>
      </w:pPr>
      <w:r>
        <w:rPr>
          <w:shd w:val="clear" w:color="auto" w:fill="FFE599"/>
        </w:rPr>
        <w:t>Indiquez le mode de répartition des voix choisi dans vos statuts :</w:t>
      </w:r>
    </w:p>
    <w:p w:rsidR="00D26076" w:rsidRDefault="00D26076" w:rsidP="00D26076">
      <w:pPr>
        <w:pStyle w:val="Standard"/>
      </w:pPr>
      <w:r>
        <w:rPr>
          <w:shd w:val="clear" w:color="auto" w:fill="FFE599"/>
        </w:rPr>
        <w:t>Copié / Collé des statuts</w:t>
      </w:r>
    </w:p>
    <w:p w:rsidR="00D26076" w:rsidRDefault="00D26076" w:rsidP="00D26076">
      <w:pPr>
        <w:pStyle w:val="Standard"/>
        <w:rPr>
          <w:shd w:val="clear" w:color="auto" w:fill="FFFF00"/>
        </w:rPr>
      </w:pPr>
    </w:p>
    <w:p w:rsidR="00D26076" w:rsidRDefault="00D26076" w:rsidP="00D26076">
      <w:pPr>
        <w:pStyle w:val="Standard"/>
      </w:pPr>
      <w:r>
        <w:t xml:space="preserve">Vous êtes invités à cliquer sur le lien hypertexte suivant pour accéder à l’information sur les droits et conditions attachés à toutes les actions ou valeurs mobilières émises donnant accès au capital social de l’émetteur ou à des droits attribués donnant accès immédiatement ou à terme au capital social de l’émetteur : </w:t>
      </w:r>
      <w:r>
        <w:rPr>
          <w:color w:val="0000FF"/>
          <w:u w:val="single"/>
        </w:rPr>
        <w:t>lien vers les statuts, préciser le numéro de l’article concerné</w:t>
      </w:r>
    </w:p>
    <w:p w:rsidR="00D26076" w:rsidRDefault="00D26076" w:rsidP="00D26076">
      <w:pPr>
        <w:pStyle w:val="Titre1"/>
      </w:pPr>
      <w:bookmarkStart w:id="6" w:name="_3znysh7"/>
      <w:bookmarkEnd w:id="6"/>
      <w:r>
        <w:t>IV – Titres offerts à la souscription</w:t>
      </w:r>
    </w:p>
    <w:p w:rsidR="00D26076" w:rsidRDefault="00D26076" w:rsidP="00D26076">
      <w:pPr>
        <w:pStyle w:val="Titre2"/>
      </w:pPr>
      <w:bookmarkStart w:id="7" w:name="_2et92p0"/>
      <w:bookmarkEnd w:id="7"/>
      <w:r>
        <w:t>IV.1 – Droits attachés aux titres offerts à la souscription</w:t>
      </w:r>
    </w:p>
    <w:p w:rsidR="00D26076" w:rsidRDefault="00D26076" w:rsidP="00D26076">
      <w:pPr>
        <w:pStyle w:val="Standard"/>
        <w:spacing w:before="40"/>
      </w:pPr>
      <w:r>
        <w:t>Si les titres offerts sont ceux décrits au titre III (capital), l’indiquer et reproduire ici le résumé correspondant. Si ce sont d’autres titres (Titres participatifs, CCA, etc.) les décrire ici. L’information est résumée</w:t>
      </w:r>
      <w:r>
        <w:rPr>
          <w:sz w:val="16"/>
          <w:szCs w:val="16"/>
          <w:vertAlign w:val="superscript"/>
        </w:rPr>
        <w:t xml:space="preserve"> </w:t>
      </w:r>
      <w:r>
        <w:t>(5 lignes max) et recouvre tous les droits (droits de vote, droits financiers et droit d’accès à l’information) attachés aux titres offerts.</w:t>
      </w:r>
    </w:p>
    <w:p w:rsidR="00D26076" w:rsidRDefault="00D26076" w:rsidP="00D26076">
      <w:pPr>
        <w:pStyle w:val="Standard"/>
        <w:spacing w:before="200" w:line="240" w:lineRule="auto"/>
      </w:pPr>
      <w:r>
        <w:t>Vous êtes invités à cliquer sur le lien hypertexte suivant pour accéder à l’information exhaustive sur les droits et conditions attachés aux titres qui vous sont offerts :</w:t>
      </w:r>
    </w:p>
    <w:p w:rsidR="00D26076" w:rsidRDefault="00D26076" w:rsidP="00D26076">
      <w:pPr>
        <w:pStyle w:val="Standard"/>
        <w:numPr>
          <w:ilvl w:val="0"/>
          <w:numId w:val="28"/>
        </w:numPr>
        <w:spacing w:before="40"/>
        <w:ind w:left="720"/>
      </w:pPr>
      <w:r>
        <w:rPr>
          <w:i/>
          <w:color w:val="0000FF"/>
          <w:u w:val="single"/>
        </w:rPr>
        <w:t>articles [●], [●] et [●] des statuts de [●]</w:t>
      </w:r>
    </w:p>
    <w:p w:rsidR="00D26076" w:rsidRDefault="00D26076" w:rsidP="00D26076">
      <w:pPr>
        <w:pStyle w:val="Standard"/>
        <w:numPr>
          <w:ilvl w:val="0"/>
          <w:numId w:val="6"/>
        </w:numPr>
      </w:pPr>
      <w:r>
        <w:rPr>
          <w:i/>
          <w:color w:val="0000FF"/>
          <w:u w:val="single"/>
        </w:rPr>
        <w:t>donner le nom et les références des autres documents conférant des droits et créer le(s) lien(s) hypertexte(s) correspondant(s)</w:t>
      </w:r>
    </w:p>
    <w:p w:rsidR="00D26076" w:rsidRDefault="00D26076" w:rsidP="00D26076">
      <w:pPr>
        <w:pStyle w:val="Standard"/>
        <w:spacing w:before="40"/>
      </w:pPr>
      <w:r>
        <w:t>Une information est donnée sur le niveau de participation auquel les dirigeants de l’émetteur se sont eux-mêmes engagés dans le cadre de l’offre proposée.</w:t>
      </w:r>
    </w:p>
    <w:p w:rsidR="00D26076" w:rsidRDefault="00D26076" w:rsidP="00D26076">
      <w:pPr>
        <w:pStyle w:val="Standard"/>
      </w:pPr>
    </w:p>
    <w:tbl>
      <w:tblPr>
        <w:tblW w:w="9072" w:type="dxa"/>
        <w:tblLayout w:type="fixed"/>
        <w:tblCellMar>
          <w:left w:w="10" w:type="dxa"/>
          <w:right w:w="10" w:type="dxa"/>
        </w:tblCellMar>
        <w:tblLook w:val="0000" w:firstRow="0" w:lastRow="0" w:firstColumn="0" w:lastColumn="0" w:noHBand="0" w:noVBand="0"/>
      </w:tblPr>
      <w:tblGrid>
        <w:gridCol w:w="1814"/>
        <w:gridCol w:w="1814"/>
        <w:gridCol w:w="1815"/>
        <w:gridCol w:w="1814"/>
        <w:gridCol w:w="1815"/>
      </w:tblGrid>
      <w:tr w:rsidR="00D26076" w:rsidTr="00155DD9">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Fonction</w:t>
            </w:r>
          </w:p>
        </w:tc>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Nb de parts</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Capital</w:t>
            </w:r>
          </w:p>
        </w:tc>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 du total</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 des droits de vote</w:t>
            </w:r>
          </w:p>
        </w:tc>
      </w:tr>
      <w:tr w:rsidR="00D26076" w:rsidTr="00155DD9">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hd w:val="clear" w:color="auto" w:fill="CFE2F3"/>
              </w:rPr>
              <w:t>Président/Gérant</w:t>
            </w:r>
          </w:p>
          <w:p w:rsidR="00D26076" w:rsidRDefault="00D26076" w:rsidP="00155DD9">
            <w:pPr>
              <w:pStyle w:val="Standard"/>
              <w:spacing w:line="240" w:lineRule="auto"/>
              <w:jc w:val="left"/>
            </w:pPr>
            <w:r>
              <w:rPr>
                <w:shd w:val="clear" w:color="auto" w:fill="CFE2F3"/>
              </w:rPr>
              <w:t>DG</w:t>
            </w:r>
          </w:p>
          <w:p w:rsidR="00D26076" w:rsidRDefault="00D26076" w:rsidP="00155DD9">
            <w:pPr>
              <w:pStyle w:val="Standard"/>
              <w:spacing w:line="240" w:lineRule="auto"/>
              <w:jc w:val="left"/>
            </w:pPr>
            <w:r>
              <w:rPr>
                <w:shd w:val="clear" w:color="auto" w:fill="CFE2F3"/>
              </w:rPr>
              <w:t>Administrateurs</w:t>
            </w:r>
          </w:p>
        </w:tc>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r>
    </w:tbl>
    <w:p w:rsidR="00D26076" w:rsidRDefault="00D26076" w:rsidP="00D26076">
      <w:pPr>
        <w:pStyle w:val="Standard"/>
      </w:pPr>
    </w:p>
    <w:p w:rsidR="00D26076" w:rsidRDefault="00D26076" w:rsidP="00D26076">
      <w:pPr>
        <w:pStyle w:val="Standard"/>
      </w:pPr>
    </w:p>
    <w:p w:rsidR="00D26076" w:rsidRDefault="00D26076" w:rsidP="00D26076">
      <w:pPr>
        <w:pStyle w:val="Titre2"/>
      </w:pPr>
      <w:bookmarkStart w:id="8" w:name="_ghxkxuxb215k"/>
      <w:bookmarkEnd w:id="8"/>
      <w:r>
        <w:t>IV.2 – Conditions liées à la cession ultérieure des titres offerts à la souscription</w:t>
      </w:r>
    </w:p>
    <w:p w:rsidR="00D26076" w:rsidRDefault="00D26076" w:rsidP="00D26076">
      <w:pPr>
        <w:pStyle w:val="Standard"/>
        <w:spacing w:before="40"/>
      </w:pPr>
      <w:r>
        <w:t>Lorsqu’elles existent</w:t>
      </w:r>
      <w:r>
        <w:rPr>
          <w:rStyle w:val="Appelnotedebasdep"/>
          <w:sz w:val="16"/>
          <w:szCs w:val="16"/>
        </w:rPr>
        <w:footnoteReference w:id="1"/>
      </w:r>
      <w:r>
        <w:t>, lister et décrire succinctement</w:t>
      </w:r>
      <w:r>
        <w:rPr>
          <w:rStyle w:val="Appelnotedebasdep"/>
        </w:rPr>
        <w:footnoteReference w:id="2"/>
      </w:r>
      <w:r>
        <w:t xml:space="preserve"> :</w:t>
      </w:r>
    </w:p>
    <w:p w:rsidR="00D26076" w:rsidRDefault="00D26076" w:rsidP="00D26076">
      <w:pPr>
        <w:pStyle w:val="Standard"/>
        <w:numPr>
          <w:ilvl w:val="0"/>
          <w:numId w:val="29"/>
        </w:numPr>
        <w:spacing w:before="40"/>
        <w:ind w:left="720" w:hanging="360"/>
      </w:pPr>
      <w:r>
        <w:t>les clauses restreignant la faculté de céder les titres souscrits (ex. : clauses d’agrément, clauses d’inaliénabilité temporaire) ;</w:t>
      </w:r>
    </w:p>
    <w:p w:rsidR="00D26076" w:rsidRDefault="00D26076" w:rsidP="00D26076">
      <w:pPr>
        <w:pStyle w:val="Standard"/>
        <w:numPr>
          <w:ilvl w:val="0"/>
          <w:numId w:val="1"/>
        </w:numPr>
      </w:pPr>
      <w:r>
        <w:t xml:space="preserve">les clauses </w:t>
      </w:r>
      <w:proofErr w:type="gramStart"/>
      <w:r>
        <w:t>de  cession</w:t>
      </w:r>
      <w:proofErr w:type="gramEnd"/>
      <w:r>
        <w:t xml:space="preserve"> forcée  (ex. : clauses d’exclusion, clauses de rachat, obligation de sortie conjointe en cas de changement de contrôle), en précisant notamment les conditions financières </w:t>
      </w:r>
      <w:r>
        <w:lastRenderedPageBreak/>
        <w:t>et la part de titres souscrits par l’investisseur qu’il sera tenu de céder ;</w:t>
      </w:r>
    </w:p>
    <w:p w:rsidR="00D26076" w:rsidRDefault="00D26076" w:rsidP="00D26076">
      <w:pPr>
        <w:pStyle w:val="Standard"/>
        <w:numPr>
          <w:ilvl w:val="0"/>
          <w:numId w:val="1"/>
        </w:numPr>
      </w:pPr>
      <w:r>
        <w:t>les clauses conférant un droit de sortie conjointe en cas de survenance d’un fait générateur (ex. : changement de contrôle).</w:t>
      </w:r>
    </w:p>
    <w:p w:rsidR="00D26076" w:rsidRDefault="00D26076" w:rsidP="00D26076">
      <w:pPr>
        <w:pStyle w:val="Standard"/>
        <w:spacing w:before="40"/>
      </w:pPr>
      <w:r>
        <w:t>Cette description est suivie de la phrase suivante : « </w:t>
      </w:r>
      <w:r>
        <w:rPr>
          <w:i/>
        </w:rPr>
        <w:t xml:space="preserve">L’investisseur est invité à cliquer sur ce </w:t>
      </w:r>
      <w:r>
        <w:rPr>
          <w:i/>
          <w:color w:val="0000FF"/>
          <w:u w:val="single"/>
        </w:rPr>
        <w:t>lien hypertexte</w:t>
      </w:r>
      <w:r>
        <w:rPr>
          <w:i/>
          <w:u w:val="single"/>
        </w:rPr>
        <w:t xml:space="preserve"> </w:t>
      </w:r>
      <w:r>
        <w:rPr>
          <w:i/>
          <w:color w:val="0000FF"/>
          <w:u w:val="single"/>
        </w:rPr>
        <w:t>pour accéder à des exemples</w:t>
      </w:r>
      <w:r>
        <w:rPr>
          <w:rStyle w:val="Appelnotedebasdep"/>
          <w:i/>
          <w:color w:val="0000FF"/>
          <w:u w:val="single"/>
        </w:rPr>
        <w:footnoteReference w:id="3"/>
      </w:r>
      <w:r>
        <w:rPr>
          <w:i/>
          <w:color w:val="0000FF"/>
          <w:u w:val="single"/>
        </w:rPr>
        <w:t xml:space="preserve"> d’application de ces clauses de liquidité</w:t>
      </w:r>
      <w:r>
        <w:rPr>
          <w:i/>
        </w:rPr>
        <w:t> et à cliquer sur le(s) lien(s) hypertexte(s) suivant(s) pour accéder aux stipulations exhaustives encadrant la liquidité des titres financiers offerts :</w:t>
      </w:r>
    </w:p>
    <w:p w:rsidR="00D26076" w:rsidRDefault="00D26076" w:rsidP="00D26076">
      <w:pPr>
        <w:pStyle w:val="Standard"/>
        <w:numPr>
          <w:ilvl w:val="0"/>
          <w:numId w:val="31"/>
        </w:numPr>
        <w:spacing w:before="40"/>
      </w:pPr>
      <w:r>
        <w:rPr>
          <w:i/>
          <w:color w:val="0000FF"/>
          <w:u w:val="single"/>
        </w:rPr>
        <w:t>articles [●], [●] et [●] des statuts de [●]</w:t>
      </w:r>
    </w:p>
    <w:p w:rsidR="00D26076" w:rsidRDefault="00D26076" w:rsidP="00D26076">
      <w:pPr>
        <w:pStyle w:val="Standard"/>
        <w:numPr>
          <w:ilvl w:val="0"/>
          <w:numId w:val="7"/>
        </w:numPr>
      </w:pPr>
      <w:r>
        <w:rPr>
          <w:i/>
          <w:color w:val="0000FF"/>
          <w:u w:val="single"/>
        </w:rPr>
        <w:t>Donner le nom et les références du/des autres document(s) encadrant la liquidité des titres offerts</w:t>
      </w:r>
    </w:p>
    <w:p w:rsidR="00D26076" w:rsidRDefault="00D26076" w:rsidP="00D26076">
      <w:pPr>
        <w:pStyle w:val="Titre2"/>
      </w:pPr>
      <w:bookmarkStart w:id="9" w:name="_3dy6vkm"/>
      <w:bookmarkEnd w:id="9"/>
      <w:r>
        <w:t>IV.3 – Risques attachés aux titres offerts à la souscription</w:t>
      </w:r>
    </w:p>
    <w:p w:rsidR="00D26076" w:rsidRDefault="00D26076" w:rsidP="00D26076">
      <w:pPr>
        <w:pStyle w:val="Standard"/>
        <w:spacing w:before="40"/>
      </w:pPr>
      <w:r>
        <w:rPr>
          <w:i/>
        </w:rPr>
        <w:t>L’investissement dans des sociétés non cotées comporte des risques spécifiques :</w:t>
      </w:r>
    </w:p>
    <w:p w:rsidR="00D26076" w:rsidRDefault="00D26076" w:rsidP="00D26076">
      <w:pPr>
        <w:pStyle w:val="Standard"/>
        <w:numPr>
          <w:ilvl w:val="1"/>
          <w:numId w:val="3"/>
        </w:numPr>
        <w:spacing w:before="40"/>
        <w:ind w:left="709"/>
      </w:pPr>
      <w:r>
        <w:rPr>
          <w:i/>
        </w:rPr>
        <w:t>risque de perte totale ou partielle du capital investi ;</w:t>
      </w:r>
    </w:p>
    <w:p w:rsidR="00D26076" w:rsidRDefault="00D26076" w:rsidP="00D26076">
      <w:pPr>
        <w:pStyle w:val="Standard"/>
        <w:numPr>
          <w:ilvl w:val="1"/>
          <w:numId w:val="3"/>
        </w:numPr>
        <w:spacing w:before="40"/>
        <w:ind w:left="709"/>
      </w:pPr>
      <w:r>
        <w:rPr>
          <w:i/>
        </w:rPr>
        <w:t>risque d’</w:t>
      </w:r>
      <w:proofErr w:type="spellStart"/>
      <w:r>
        <w:rPr>
          <w:i/>
        </w:rPr>
        <w:t>illiquidité</w:t>
      </w:r>
      <w:proofErr w:type="spellEnd"/>
      <w:r>
        <w:rPr>
          <w:i/>
        </w:rPr>
        <w:t xml:space="preserve"> : la revente des titres n’est pas garantie, elle peut être incertaine, partielle, voire impossible </w:t>
      </w:r>
      <w:r>
        <w:t>;</w:t>
      </w:r>
    </w:p>
    <w:p w:rsidR="00D26076" w:rsidRDefault="00D26076" w:rsidP="00D26076">
      <w:pPr>
        <w:pStyle w:val="Standard"/>
        <w:numPr>
          <w:ilvl w:val="1"/>
          <w:numId w:val="3"/>
        </w:numPr>
        <w:spacing w:before="40"/>
        <w:ind w:left="709"/>
      </w:pPr>
      <w:r>
        <w:rPr>
          <w:shd w:val="clear" w:color="auto" w:fill="CFE2F3"/>
        </w:rPr>
        <w:t>[le cas échéant préciser] </w:t>
      </w:r>
      <w:r>
        <w:rPr>
          <w:i/>
        </w:rPr>
        <w:t>risque lié à la cession de contrôle : les investisseurs ne bénéficient pas d’une clause leur permettant de céder leurs titres dans des conditions financières équivalentes à celles de l’actionnaire qui cèderait le contrôle de la société ;</w:t>
      </w:r>
    </w:p>
    <w:p w:rsidR="00D26076" w:rsidRDefault="00D26076" w:rsidP="00D26076">
      <w:pPr>
        <w:pStyle w:val="Standard"/>
        <w:numPr>
          <w:ilvl w:val="1"/>
          <w:numId w:val="3"/>
        </w:numPr>
        <w:spacing w:before="40"/>
        <w:ind w:left="709"/>
      </w:pPr>
      <w:r>
        <w:rPr>
          <w:i/>
        </w:rPr>
        <w:t>le retour sur investissement dépend de la réussite du projet financé.</w:t>
      </w:r>
    </w:p>
    <w:p w:rsidR="00D26076" w:rsidRDefault="00D26076" w:rsidP="00D26076">
      <w:pPr>
        <w:pStyle w:val="Standard"/>
        <w:numPr>
          <w:ilvl w:val="1"/>
          <w:numId w:val="3"/>
        </w:numPr>
        <w:spacing w:before="40"/>
        <w:ind w:left="709"/>
      </w:pPr>
      <w:r>
        <w:rPr>
          <w:shd w:val="clear" w:color="auto" w:fill="CFE2F3"/>
        </w:rPr>
        <w:t>[le cas échéant préciser]</w:t>
      </w:r>
      <w:r>
        <w:rPr>
          <w:i/>
        </w:rPr>
        <w:t xml:space="preserve"> risque d’acquérir les titres à un prix qui pourrait s’avérer trop élevé, notamment en raison de l’absence de leur valorisation par </w:t>
      </w:r>
      <w:proofErr w:type="gramStart"/>
      <w:r>
        <w:rPr>
          <w:i/>
        </w:rPr>
        <w:t>une  «</w:t>
      </w:r>
      <w:proofErr w:type="gramEnd"/>
      <w:r>
        <w:rPr>
          <w:i/>
        </w:rPr>
        <w:t> expertise indépendante ».</w:t>
      </w:r>
    </w:p>
    <w:p w:rsidR="00D26076" w:rsidRDefault="00D26076" w:rsidP="00D26076">
      <w:pPr>
        <w:pStyle w:val="Titre2"/>
      </w:pPr>
      <w:bookmarkStart w:id="10" w:name="_4d34og8"/>
      <w:bookmarkEnd w:id="10"/>
      <w:r>
        <w:t>IV.4 – Modification de la composition du capital de l’émetteur liée à l’offre</w:t>
      </w:r>
    </w:p>
    <w:p w:rsidR="00D26076" w:rsidRDefault="00D26076" w:rsidP="00D26076">
      <w:pPr>
        <w:pStyle w:val="Standard"/>
        <w:jc w:val="left"/>
      </w:pPr>
      <w:r>
        <w:t>Présenter un tableau récapitulant la répartition du capital et des droits de vote avant et après la réalisation de l’offre (en prenant pour hypothèse que l’intégralité des titres offerts sera souscrite). Le tableau présente par ordre d’importance numérique décroissant le poids des actionnaires au capital de l’émetteur</w:t>
      </w:r>
      <w:proofErr w:type="gramStart"/>
      <w:r>
        <w:t>.:</w:t>
      </w:r>
      <w:proofErr w:type="gramEnd"/>
    </w:p>
    <w:tbl>
      <w:tblPr>
        <w:tblW w:w="9067" w:type="dxa"/>
        <w:tblLayout w:type="fixed"/>
        <w:tblCellMar>
          <w:left w:w="10" w:type="dxa"/>
          <w:right w:w="10" w:type="dxa"/>
        </w:tblCellMar>
        <w:tblLook w:val="0000" w:firstRow="0" w:lastRow="0" w:firstColumn="0" w:lastColumn="0" w:noHBand="0" w:noVBand="0"/>
      </w:tblPr>
      <w:tblGrid>
        <w:gridCol w:w="2560"/>
        <w:gridCol w:w="3247"/>
        <w:gridCol w:w="3260"/>
      </w:tblGrid>
      <w:tr w:rsidR="00D26076" w:rsidTr="00155DD9">
        <w:trPr>
          <w:trHeight w:val="600"/>
        </w:trPr>
        <w:tc>
          <w:tcPr>
            <w:tcW w:w="2560"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color w:val="000000"/>
              </w:rPr>
              <w:t> </w:t>
            </w:r>
          </w:p>
        </w:tc>
        <w:tc>
          <w:tcPr>
            <w:tcW w:w="32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b/>
                <w:color w:val="000000"/>
              </w:rPr>
              <w:t>Avant réalisation de l'offre</w:t>
            </w:r>
          </w:p>
        </w:tc>
        <w:tc>
          <w:tcPr>
            <w:tcW w:w="326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b/>
                <w:color w:val="000000"/>
              </w:rPr>
              <w:t>Après réalisation de l'offre</w:t>
            </w:r>
          </w:p>
        </w:tc>
      </w:tr>
      <w:tr w:rsidR="00D26076" w:rsidTr="00155DD9">
        <w:trPr>
          <w:trHeight w:val="600"/>
        </w:trPr>
        <w:tc>
          <w:tcPr>
            <w:tcW w:w="256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b/>
                <w:color w:val="000000"/>
              </w:rPr>
              <w:t>Nombre d'actions</w:t>
            </w:r>
          </w:p>
        </w:tc>
        <w:tc>
          <w:tcPr>
            <w:tcW w:w="3247"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color w:val="000000"/>
                <w:shd w:val="clear" w:color="auto" w:fill="FFE599"/>
              </w:rPr>
              <w:t>XXXX</w:t>
            </w:r>
          </w:p>
        </w:tc>
        <w:tc>
          <w:tcPr>
            <w:tcW w:w="3260"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color w:val="000000"/>
                <w:shd w:val="clear" w:color="auto" w:fill="FFE599"/>
              </w:rPr>
              <w:t>XX</w:t>
            </w:r>
          </w:p>
        </w:tc>
      </w:tr>
      <w:tr w:rsidR="00D26076" w:rsidTr="00155DD9">
        <w:trPr>
          <w:trHeight w:val="600"/>
        </w:trPr>
        <w:tc>
          <w:tcPr>
            <w:tcW w:w="256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b/>
                <w:color w:val="000000"/>
              </w:rPr>
              <w:t>Nombre d'actionnaires</w:t>
            </w:r>
            <w:r>
              <w:rPr>
                <w:b/>
              </w:rPr>
              <w:t>, %</w:t>
            </w:r>
            <w:r>
              <w:rPr>
                <w:rFonts w:eastAsia="Calibri"/>
                <w:b/>
                <w:color w:val="000000"/>
              </w:rPr>
              <w:t xml:space="preserve"> du capital détenu, % des droits de vote</w:t>
            </w:r>
          </w:p>
        </w:tc>
        <w:tc>
          <w:tcPr>
            <w:tcW w:w="3247"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t>Voir le tableau au chapitre III</w:t>
            </w:r>
          </w:p>
        </w:tc>
        <w:tc>
          <w:tcPr>
            <w:tcW w:w="3260"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jc w:val="center"/>
            </w:pPr>
            <w:r>
              <w:t xml:space="preserve">Si les droits de vote ne sont pas attachés aux droits de détention du capital, vous pouvez marquer : la société est à capital variable et </w:t>
            </w:r>
            <w:r>
              <w:lastRenderedPageBreak/>
              <w:t>comprend un grand nombre d’actionnaires dont il n’est pas possible de connaître précisément la nature avant la fin de l’offre.</w:t>
            </w:r>
          </w:p>
        </w:tc>
      </w:tr>
      <w:tr w:rsidR="00D26076" w:rsidTr="00155DD9">
        <w:trPr>
          <w:trHeight w:val="600"/>
        </w:trPr>
        <w:tc>
          <w:tcPr>
            <w:tcW w:w="256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b/>
              </w:rPr>
              <w:lastRenderedPageBreak/>
              <w:t>Dilution du pourcentage du capital, pour une personne détenant 1% du capital avant la souscription</w:t>
            </w:r>
          </w:p>
        </w:tc>
        <w:tc>
          <w:tcPr>
            <w:tcW w:w="3247"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t>1%</w:t>
            </w:r>
          </w:p>
        </w:tc>
        <w:tc>
          <w:tcPr>
            <w:tcW w:w="3260"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shd w:val="clear" w:color="auto" w:fill="FFE599"/>
              </w:rPr>
              <w:t>XX%</w:t>
            </w:r>
          </w:p>
        </w:tc>
      </w:tr>
    </w:tbl>
    <w:p w:rsidR="00D26076" w:rsidRDefault="00D26076" w:rsidP="00D26076">
      <w:pPr>
        <w:pStyle w:val="Standard"/>
      </w:pPr>
    </w:p>
    <w:p w:rsidR="00D26076" w:rsidRDefault="00D26076" w:rsidP="00D26076">
      <w:pPr>
        <w:pStyle w:val="Titre1"/>
      </w:pPr>
      <w:bookmarkStart w:id="11" w:name="_xa83voo68vge"/>
      <w:bookmarkEnd w:id="11"/>
      <w:r>
        <w:t>V – Relations avec le teneur de registre de la société</w:t>
      </w:r>
    </w:p>
    <w:p w:rsidR="00D26076" w:rsidRDefault="00D26076" w:rsidP="00D26076">
      <w:pPr>
        <w:pStyle w:val="Standard"/>
      </w:pPr>
      <w:r>
        <w:t>Identité du teneur de registre de la société (émetteur ou son mandataire) :</w:t>
      </w:r>
    </w:p>
    <w:p w:rsidR="00D26076" w:rsidRDefault="00D26076" w:rsidP="00D26076">
      <w:pPr>
        <w:pStyle w:val="Standard"/>
        <w:widowControl/>
        <w:spacing w:line="240" w:lineRule="auto"/>
        <w:ind w:left="708"/>
        <w:jc w:val="left"/>
      </w:pPr>
      <w:r>
        <w:rPr>
          <w:rFonts w:eastAsia="Calibri"/>
          <w:color w:val="000000"/>
          <w:sz w:val="22"/>
          <w:szCs w:val="22"/>
        </w:rPr>
        <w:t xml:space="preserve">Nom : </w:t>
      </w:r>
      <w:r>
        <w:rPr>
          <w:rFonts w:eastAsia="Calibri"/>
          <w:color w:val="000000"/>
          <w:sz w:val="22"/>
          <w:szCs w:val="22"/>
          <w:shd w:val="clear" w:color="auto" w:fill="FFE599"/>
        </w:rPr>
        <w:t>XXXXXX</w:t>
      </w:r>
      <w:r>
        <w:rPr>
          <w:rFonts w:eastAsia="Calibri"/>
          <w:color w:val="000000"/>
          <w:sz w:val="22"/>
          <w:szCs w:val="22"/>
        </w:rPr>
        <w:t xml:space="preserve">   Prénom : </w:t>
      </w:r>
      <w:r>
        <w:rPr>
          <w:rFonts w:eastAsia="Calibri"/>
          <w:color w:val="000000"/>
          <w:sz w:val="22"/>
          <w:szCs w:val="22"/>
          <w:shd w:val="clear" w:color="auto" w:fill="FFE599"/>
        </w:rPr>
        <w:t>XXXXXXX</w:t>
      </w:r>
    </w:p>
    <w:p w:rsidR="00D26076" w:rsidRDefault="00D26076" w:rsidP="00D26076">
      <w:pPr>
        <w:pStyle w:val="Standard"/>
        <w:widowControl/>
        <w:spacing w:line="240" w:lineRule="auto"/>
        <w:ind w:left="708"/>
        <w:jc w:val="left"/>
      </w:pPr>
      <w:r>
        <w:rPr>
          <w:rFonts w:eastAsia="Calibri"/>
          <w:color w:val="000000"/>
          <w:sz w:val="22"/>
          <w:szCs w:val="22"/>
        </w:rPr>
        <w:t xml:space="preserve">Domicilié à : </w:t>
      </w:r>
      <w:r>
        <w:rPr>
          <w:rFonts w:eastAsia="Calibri"/>
          <w:color w:val="000000"/>
          <w:sz w:val="22"/>
          <w:szCs w:val="22"/>
          <w:shd w:val="clear" w:color="auto" w:fill="FFE599"/>
        </w:rPr>
        <w:t>XXXXXXXX</w:t>
      </w:r>
    </w:p>
    <w:p w:rsidR="00D26076" w:rsidRDefault="00D26076" w:rsidP="00D26076">
      <w:pPr>
        <w:pStyle w:val="Standard"/>
        <w:widowControl/>
        <w:spacing w:line="240" w:lineRule="auto"/>
        <w:ind w:left="708"/>
        <w:jc w:val="left"/>
      </w:pPr>
      <w:r>
        <w:rPr>
          <w:rFonts w:eastAsia="Calibri"/>
          <w:color w:val="000000"/>
          <w:sz w:val="22"/>
          <w:szCs w:val="22"/>
        </w:rPr>
        <w:t xml:space="preserve">Téléphone : </w:t>
      </w:r>
      <w:r>
        <w:rPr>
          <w:rFonts w:eastAsia="Calibri"/>
          <w:color w:val="000000"/>
          <w:sz w:val="22"/>
          <w:szCs w:val="22"/>
          <w:shd w:val="clear" w:color="auto" w:fill="FFE599"/>
        </w:rPr>
        <w:t>XXXXXX</w:t>
      </w:r>
    </w:p>
    <w:p w:rsidR="00D26076" w:rsidRDefault="00D26076" w:rsidP="00D26076">
      <w:pPr>
        <w:pStyle w:val="Standard"/>
        <w:widowControl/>
        <w:spacing w:line="240" w:lineRule="auto"/>
        <w:ind w:left="708"/>
        <w:jc w:val="left"/>
      </w:pPr>
      <w:r>
        <w:rPr>
          <w:rFonts w:eastAsia="Calibri"/>
          <w:color w:val="000000"/>
          <w:sz w:val="22"/>
          <w:szCs w:val="22"/>
        </w:rPr>
        <w:t xml:space="preserve">Courriel : </w:t>
      </w:r>
      <w:r>
        <w:rPr>
          <w:rFonts w:eastAsia="Calibri"/>
          <w:color w:val="000000"/>
          <w:sz w:val="22"/>
          <w:szCs w:val="22"/>
          <w:shd w:val="clear" w:color="auto" w:fill="FFE599"/>
        </w:rPr>
        <w:t>XXXXX</w:t>
      </w:r>
    </w:p>
    <w:p w:rsidR="00D26076" w:rsidRDefault="00D26076" w:rsidP="00D26076">
      <w:pPr>
        <w:pStyle w:val="Standard"/>
      </w:pPr>
      <w:r>
        <w:t>Les copies des inscriptions aux comptes individuels des investisseurs dans les livres de l’émetteur pourront être délivrées par courriel ou par courrier postal (préciser) aux personnes concernées.</w:t>
      </w:r>
    </w:p>
    <w:p w:rsidR="00D26076" w:rsidRDefault="00D26076" w:rsidP="00D26076">
      <w:pPr>
        <w:pStyle w:val="Titre1"/>
      </w:pPr>
      <w:bookmarkStart w:id="12" w:name="_17dp8vu"/>
      <w:bookmarkEnd w:id="12"/>
      <w:r>
        <w:t>VI – Interposition de société(s) entre l’émetteur et le projet</w:t>
      </w:r>
    </w:p>
    <w:p w:rsidR="00D26076" w:rsidRDefault="00D26076" w:rsidP="00D26076">
      <w:pPr>
        <w:pStyle w:val="Standard"/>
        <w:spacing w:before="40"/>
      </w:pPr>
      <w:r>
        <w:t>Non concerné</w:t>
      </w:r>
    </w:p>
    <w:p w:rsidR="00D26076" w:rsidRDefault="00D26076" w:rsidP="00D26076">
      <w:pPr>
        <w:pStyle w:val="Standard"/>
        <w:spacing w:before="40"/>
      </w:pPr>
      <w:r>
        <w:rPr>
          <w:shd w:val="clear" w:color="auto" w:fill="CFE2F3"/>
        </w:rPr>
        <w:t>OU</w:t>
      </w:r>
    </w:p>
    <w:p w:rsidR="00D26076" w:rsidRDefault="00D26076" w:rsidP="00D26076">
      <w:pPr>
        <w:pStyle w:val="Standard"/>
        <w:spacing w:before="40"/>
      </w:pPr>
      <w:r>
        <w:t>Si l’émetteur n’est pas la société qui réalise le projet, toutes les rubriques mentionnées ci-dessus relatives à l’émetteur des titres offerts sont complétées par des informations de même nature sur la société qui réalise le projet et le cas échéant, sur chacune des sociétés s’interposant entre la société qui réalise le projet et celle qui réalise l’offre.</w:t>
      </w:r>
    </w:p>
    <w:p w:rsidR="00D26076" w:rsidRDefault="00D26076" w:rsidP="00D26076">
      <w:pPr>
        <w:pStyle w:val="Standard"/>
        <w:spacing w:before="40"/>
      </w:pPr>
      <w:r>
        <w:rPr>
          <w:shd w:val="clear" w:color="auto" w:fill="FFE599"/>
        </w:rPr>
        <w:t>Un organigramme détaille cette/ces interposition(s).</w:t>
      </w:r>
    </w:p>
    <w:p w:rsidR="00D26076" w:rsidRDefault="00D26076" w:rsidP="00D26076">
      <w:pPr>
        <w:pStyle w:val="Standard"/>
        <w:spacing w:before="40"/>
      </w:pPr>
      <w:r>
        <w:t>Une information est également donnée sur les accords contractuels entre les sociétés susvisées lorsque de tels accords existent.</w:t>
      </w:r>
    </w:p>
    <w:p w:rsidR="00D26076" w:rsidRDefault="00D26076" w:rsidP="00D26076">
      <w:pPr>
        <w:pStyle w:val="Titre1"/>
      </w:pPr>
      <w:bookmarkStart w:id="13" w:name="_kn2egjtz5jsr"/>
      <w:bookmarkEnd w:id="13"/>
      <w:r>
        <w:t>VII. Modalités de souscription</w:t>
      </w:r>
    </w:p>
    <w:p w:rsidR="00D26076" w:rsidRDefault="00D26076" w:rsidP="00D26076">
      <w:pPr>
        <w:pStyle w:val="Standard"/>
      </w:pPr>
      <w:r>
        <w:t xml:space="preserve">Les bulletins de souscription sont recueillis soit par mail à l’adresse suivante : </w:t>
      </w:r>
      <w:proofErr w:type="spellStart"/>
      <w:proofErr w:type="gramStart"/>
      <w:r>
        <w:rPr>
          <w:shd w:val="clear" w:color="auto" w:fill="FFE599"/>
        </w:rPr>
        <w:t>xxxx@xxx</w:t>
      </w:r>
      <w:proofErr w:type="spellEnd"/>
      <w:r>
        <w:t xml:space="preserve"> ,</w:t>
      </w:r>
      <w:proofErr w:type="gramEnd"/>
      <w:r>
        <w:t xml:space="preserve"> </w:t>
      </w:r>
      <w:r>
        <w:rPr>
          <w:shd w:val="clear" w:color="auto" w:fill="CFE2F3"/>
        </w:rPr>
        <w:t>soit au format papier à l’adresse …..</w:t>
      </w:r>
    </w:p>
    <w:p w:rsidR="00D26076" w:rsidRDefault="00D26076" w:rsidP="00D26076">
      <w:pPr>
        <w:pStyle w:val="Standard"/>
      </w:pPr>
      <w:r>
        <w:t>Un reçu est remis au souscripteur.</w:t>
      </w:r>
    </w:p>
    <w:p w:rsidR="00D26076" w:rsidRDefault="00D26076" w:rsidP="00D26076">
      <w:pPr>
        <w:pStyle w:val="Standard"/>
      </w:pPr>
      <w:r>
        <w:t xml:space="preserve">Le paiement se fait par </w:t>
      </w:r>
      <w:r>
        <w:rPr>
          <w:shd w:val="clear" w:color="auto" w:fill="CFE2F3"/>
        </w:rPr>
        <w:t>chèque ou virement</w:t>
      </w:r>
    </w:p>
    <w:p w:rsidR="00D26076" w:rsidRDefault="00D26076" w:rsidP="00D26076">
      <w:pPr>
        <w:pStyle w:val="Standard"/>
      </w:pPr>
      <w:r>
        <w:rPr>
          <w:shd w:val="clear" w:color="auto" w:fill="FFE599"/>
        </w:rPr>
        <w:t>Indiquer si les souscriptions sont révocables avant la clôture de l’offre ou pas (voir plus bas)</w:t>
      </w:r>
    </w:p>
    <w:p w:rsidR="00D26076" w:rsidRDefault="00D26076" w:rsidP="00D26076">
      <w:pPr>
        <w:pStyle w:val="Standard"/>
      </w:pPr>
      <w:r>
        <w:rPr>
          <w:i/>
        </w:rPr>
        <w:t>Vous êtes invités à cliquer sur le(s) lien(s) hypertexte(s) suivant(s) pour accéder à la documentation juridique vous permettant de répondre à l’offre</w:t>
      </w:r>
      <w:r>
        <w:t xml:space="preserve"> : </w:t>
      </w:r>
      <w:r>
        <w:rPr>
          <w:shd w:val="clear" w:color="auto" w:fill="FFE599"/>
        </w:rPr>
        <w:t xml:space="preserve">Insérer un lien vers la page de votre site web où </w:t>
      </w:r>
      <w:proofErr w:type="gramStart"/>
      <w:r>
        <w:rPr>
          <w:shd w:val="clear" w:color="auto" w:fill="FFE599"/>
        </w:rPr>
        <w:t>figure</w:t>
      </w:r>
      <w:proofErr w:type="gramEnd"/>
      <w:r>
        <w:rPr>
          <w:shd w:val="clear" w:color="auto" w:fill="FFE599"/>
        </w:rPr>
        <w:t xml:space="preserve"> le bulletin de souscription et éventuellement la fiche de renseignement à remplir.</w:t>
      </w:r>
    </w:p>
    <w:p w:rsidR="00D26076" w:rsidRDefault="00D26076" w:rsidP="00D26076">
      <w:pPr>
        <w:pStyle w:val="Standard"/>
      </w:pPr>
      <w:r>
        <w:rPr>
          <w:b/>
        </w:rPr>
        <w:t>Calendrier de l’offre</w:t>
      </w:r>
    </w:p>
    <w:p w:rsidR="00D26076" w:rsidRDefault="00D26076" w:rsidP="00D26076">
      <w:pPr>
        <w:pStyle w:val="Standard"/>
        <w:rPr>
          <w:b/>
        </w:rPr>
      </w:pPr>
    </w:p>
    <w:tbl>
      <w:tblPr>
        <w:tblW w:w="9030" w:type="dxa"/>
        <w:tblLayout w:type="fixed"/>
        <w:tblCellMar>
          <w:left w:w="10" w:type="dxa"/>
          <w:right w:w="10" w:type="dxa"/>
        </w:tblCellMar>
        <w:tblLook w:val="0000" w:firstRow="0" w:lastRow="0" w:firstColumn="0" w:lastColumn="0" w:noHBand="0" w:noVBand="0"/>
      </w:tblPr>
      <w:tblGrid>
        <w:gridCol w:w="1349"/>
        <w:gridCol w:w="7681"/>
      </w:tblGrid>
      <w:tr w:rsidR="00D26076" w:rsidTr="00155DD9">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b/>
              </w:rPr>
              <w:t>Date</w:t>
            </w: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b/>
              </w:rPr>
              <w:t>Etapes clés</w:t>
            </w:r>
          </w:p>
        </w:tc>
      </w:tr>
      <w:tr w:rsidR="00D26076" w:rsidTr="00155DD9">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b/>
              </w:rPr>
            </w:pP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Dépôt du DIS et de l’ensemble de la communication à caractère promotionnel à</w:t>
            </w:r>
          </w:p>
          <w:p w:rsidR="00D26076" w:rsidRDefault="00D26076" w:rsidP="00155DD9">
            <w:pPr>
              <w:pStyle w:val="Standard"/>
              <w:spacing w:line="240" w:lineRule="auto"/>
              <w:jc w:val="left"/>
            </w:pPr>
            <w:r>
              <w:t>l’adresse suivante depotdis@amf-france.org</w:t>
            </w:r>
          </w:p>
        </w:tc>
      </w:tr>
      <w:tr w:rsidR="00D26076" w:rsidTr="00155DD9">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b/>
              </w:rPr>
            </w:pP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Ouverture de la période de souscription</w:t>
            </w:r>
          </w:p>
        </w:tc>
      </w:tr>
      <w:tr w:rsidR="00D26076" w:rsidTr="00155DD9">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b/>
              </w:rPr>
            </w:pP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Clôture de la période de souscription</w:t>
            </w:r>
          </w:p>
        </w:tc>
      </w:tr>
      <w:tr w:rsidR="00D26076" w:rsidTr="00155DD9">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b/>
              </w:rPr>
            </w:pP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Publication des résultats</w:t>
            </w:r>
          </w:p>
        </w:tc>
      </w:tr>
    </w:tbl>
    <w:p w:rsidR="00D26076" w:rsidRDefault="00D26076" w:rsidP="00D26076">
      <w:pPr>
        <w:pStyle w:val="Standard"/>
        <w:rPr>
          <w:b/>
        </w:rPr>
      </w:pPr>
    </w:p>
    <w:p w:rsidR="00D26076" w:rsidRDefault="00D26076" w:rsidP="00D26076">
      <w:pPr>
        <w:pStyle w:val="Standard"/>
        <w:widowControl/>
        <w:spacing w:line="276" w:lineRule="auto"/>
      </w:pPr>
      <w:r>
        <w:rPr>
          <w:sz w:val="22"/>
          <w:szCs w:val="22"/>
        </w:rPr>
        <w:t>L</w:t>
      </w:r>
      <w:r>
        <w:rPr>
          <w:rFonts w:eastAsia="Calibri"/>
          <w:color w:val="000000"/>
          <w:sz w:val="22"/>
          <w:szCs w:val="22"/>
        </w:rPr>
        <w:t xml:space="preserve">es investisseurs </w:t>
      </w:r>
      <w:r>
        <w:rPr>
          <w:sz w:val="22"/>
          <w:szCs w:val="22"/>
        </w:rPr>
        <w:t xml:space="preserve">réalisent le paiement </w:t>
      </w:r>
      <w:r>
        <w:rPr>
          <w:rFonts w:eastAsia="Calibri"/>
          <w:color w:val="000000"/>
          <w:sz w:val="22"/>
          <w:szCs w:val="22"/>
        </w:rPr>
        <w:t>de la somme correspondant au montant de leur souscription </w:t>
      </w:r>
      <w:r>
        <w:rPr>
          <w:sz w:val="22"/>
          <w:szCs w:val="22"/>
        </w:rPr>
        <w:t>dès leur souscription.</w:t>
      </w:r>
    </w:p>
    <w:p w:rsidR="00D26076" w:rsidRDefault="00D26076" w:rsidP="00D26076">
      <w:pPr>
        <w:pStyle w:val="Standard"/>
        <w:widowControl/>
        <w:spacing w:line="276" w:lineRule="auto"/>
      </w:pPr>
      <w:r>
        <w:rPr>
          <w:sz w:val="22"/>
          <w:szCs w:val="22"/>
        </w:rPr>
        <w:t xml:space="preserve">Les titres seront émis dans </w:t>
      </w:r>
      <w:r>
        <w:rPr>
          <w:sz w:val="22"/>
          <w:szCs w:val="22"/>
          <w:shd w:val="clear" w:color="auto" w:fill="FFE599"/>
        </w:rPr>
        <w:t xml:space="preserve">(indiquer </w:t>
      </w:r>
      <w:proofErr w:type="gramStart"/>
      <w:r>
        <w:rPr>
          <w:sz w:val="22"/>
          <w:szCs w:val="22"/>
          <w:shd w:val="clear" w:color="auto" w:fill="FFE599"/>
        </w:rPr>
        <w:t>le délais</w:t>
      </w:r>
      <w:proofErr w:type="gramEnd"/>
      <w:r>
        <w:rPr>
          <w:sz w:val="22"/>
          <w:szCs w:val="22"/>
          <w:shd w:val="clear" w:color="auto" w:fill="FFE599"/>
        </w:rPr>
        <w:t xml:space="preserve"> qui vous convient)</w:t>
      </w:r>
      <w:r>
        <w:rPr>
          <w:sz w:val="22"/>
          <w:szCs w:val="22"/>
        </w:rPr>
        <w:t xml:space="preserve"> après la souscription.</w:t>
      </w:r>
    </w:p>
    <w:p w:rsidR="00D26076" w:rsidRDefault="00D26076" w:rsidP="00D26076">
      <w:pPr>
        <w:pStyle w:val="Standard"/>
        <w:rPr>
          <w:b/>
        </w:rPr>
      </w:pPr>
    </w:p>
    <w:p w:rsidR="00D26076" w:rsidRDefault="00D26076" w:rsidP="00D26076">
      <w:pPr>
        <w:pStyle w:val="Standard"/>
      </w:pPr>
      <w:r>
        <w:rPr>
          <w:b/>
          <w:shd w:val="clear" w:color="auto" w:fill="CFE2F3"/>
        </w:rPr>
        <w:t>Modalités de restitution du montant de la souscription en cas de non-réalisation de l’offre ou de sursouscription</w:t>
      </w:r>
    </w:p>
    <w:p w:rsidR="00D26076" w:rsidRDefault="00D26076" w:rsidP="00D26076">
      <w:pPr>
        <w:pStyle w:val="Standard"/>
      </w:pPr>
      <w:r>
        <w:rPr>
          <w:shd w:val="clear" w:color="auto" w:fill="CFE2F3"/>
        </w:rPr>
        <w:t>La société locale se réserve la possibilité de rembourser par virement / par chèque le souscripteur en cas de sursouscription ou de non-réalisation du projet. La date d’inscription sur le registre fait foi. Dans ce cas un reçu est également demandé à l’actionnaire concerné.</w:t>
      </w:r>
    </w:p>
    <w:p w:rsidR="006858C4" w:rsidRDefault="00EF3292">
      <w:pPr>
        <w:pStyle w:val="Standard"/>
      </w:pPr>
      <w:r>
        <w:rPr>
          <w:shd w:val="clear" w:color="auto" w:fill="CFE2F3"/>
        </w:rPr>
        <w:t xml:space="preserve"> </w:t>
      </w:r>
      <w:proofErr w:type="gramStart"/>
      <w:r>
        <w:rPr>
          <w:shd w:val="clear" w:color="auto" w:fill="CFE2F3"/>
        </w:rPr>
        <w:t>à</w:t>
      </w:r>
      <w:proofErr w:type="gramEnd"/>
      <w:r>
        <w:rPr>
          <w:shd w:val="clear" w:color="auto" w:fill="CFE2F3"/>
        </w:rPr>
        <w:t xml:space="preserve"> </w:t>
      </w:r>
      <w:proofErr w:type="spellStart"/>
      <w:r>
        <w:rPr>
          <w:shd w:val="clear" w:color="auto" w:fill="CFE2F3"/>
        </w:rPr>
        <w:t>lactionnaire</w:t>
      </w:r>
      <w:proofErr w:type="spellEnd"/>
      <w:r>
        <w:rPr>
          <w:shd w:val="clear" w:color="auto" w:fill="CFE2F3"/>
        </w:rPr>
        <w:t xml:space="preserve"> concerné.</w:t>
      </w:r>
    </w:p>
    <w:sectPr w:rsidR="006858C4">
      <w:footerReference w:type="default" r:id="rId10"/>
      <w:pgSz w:w="11906" w:h="16838"/>
      <w:pgMar w:top="1133" w:right="1417" w:bottom="1417" w:left="1417"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333" w:rsidRDefault="00674333">
      <w:r>
        <w:separator/>
      </w:r>
    </w:p>
  </w:endnote>
  <w:endnote w:type="continuationSeparator" w:id="0">
    <w:p w:rsidR="00674333" w:rsidRDefault="0067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Rounded">
    <w:altName w:val="Times New Roman"/>
    <w:charset w:val="00"/>
    <w:family w:val="roman"/>
    <w:pitch w:val="variable"/>
  </w:font>
  <w:font w:name="Liberation Sans">
    <w:charset w:val="00"/>
    <w:family w:val="swiss"/>
    <w:pitch w:val="variable"/>
  </w:font>
  <w:font w:name="Linux Libertine G">
    <w:charset w:val="00"/>
    <w:family w:val="auto"/>
    <w:pitch w:val="variable"/>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09F" w:rsidRDefault="00EF3292">
    <w:pPr>
      <w:pStyle w:val="Standard"/>
      <w:widowControl/>
      <w:tabs>
        <w:tab w:val="center" w:pos="4536"/>
        <w:tab w:val="right" w:pos="9072"/>
      </w:tabs>
      <w:spacing w:line="240" w:lineRule="auto"/>
      <w:jc w:val="right"/>
    </w:pPr>
    <w:r>
      <w:fldChar w:fldCharType="begin"/>
    </w:r>
    <w:r>
      <w:instrText xml:space="preserve"> PAGE </w:instrText>
    </w:r>
    <w:r>
      <w:fldChar w:fldCharType="separate"/>
    </w:r>
    <w:r w:rsidR="00721AB2">
      <w:rPr>
        <w:noProof/>
      </w:rPr>
      <w:t>4</w:t>
    </w:r>
    <w:r>
      <w:fldChar w:fldCharType="end"/>
    </w:r>
  </w:p>
  <w:p w:rsidR="00B8309F" w:rsidRDefault="00674333">
    <w:pPr>
      <w:pStyle w:val="Standard"/>
      <w:widowControl/>
      <w:tabs>
        <w:tab w:val="center" w:pos="4536"/>
        <w:tab w:val="right" w:pos="9072"/>
      </w:tabs>
      <w:spacing w:line="240" w:lineRule="auto"/>
      <w:rPr>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333" w:rsidRDefault="00674333">
      <w:r>
        <w:rPr>
          <w:color w:val="000000"/>
        </w:rPr>
        <w:separator/>
      </w:r>
    </w:p>
  </w:footnote>
  <w:footnote w:type="continuationSeparator" w:id="0">
    <w:p w:rsidR="00674333" w:rsidRDefault="00674333">
      <w:r>
        <w:continuationSeparator/>
      </w:r>
    </w:p>
  </w:footnote>
  <w:footnote w:id="1">
    <w:p w:rsidR="00D26076" w:rsidRDefault="00D26076" w:rsidP="00D26076">
      <w:pPr>
        <w:pStyle w:val="Standard"/>
        <w:spacing w:before="40" w:after="60"/>
      </w:pPr>
      <w:r>
        <w:rPr>
          <w:rStyle w:val="Appelnotedebasdep"/>
        </w:rPr>
        <w:footnoteRef/>
      </w:r>
      <w:r>
        <w:rPr>
          <w:sz w:val="16"/>
          <w:szCs w:val="16"/>
        </w:rPr>
        <w:t>En l’absence de stipulations des statuts ou d’un pacte organisant la liquidité des titres offerts, insérer une mention explicite indiquant l’absence de telles clauses.</w:t>
      </w:r>
    </w:p>
  </w:footnote>
  <w:footnote w:id="2">
    <w:p w:rsidR="00D26076" w:rsidRDefault="00D26076" w:rsidP="00D26076">
      <w:pPr>
        <w:pStyle w:val="Standard"/>
        <w:spacing w:before="40" w:after="60"/>
      </w:pPr>
      <w:r>
        <w:rPr>
          <w:rStyle w:val="Appelnotedebasdep"/>
        </w:rPr>
        <w:footnoteRef/>
      </w:r>
      <w:r>
        <w:rPr>
          <w:sz w:val="16"/>
          <w:szCs w:val="16"/>
        </w:rPr>
        <w:t>10 lignes maximum par clause.</w:t>
      </w:r>
    </w:p>
  </w:footnote>
  <w:footnote w:id="3">
    <w:p w:rsidR="00D26076" w:rsidRDefault="00D26076" w:rsidP="00D26076">
      <w:pPr>
        <w:pStyle w:val="Standard"/>
        <w:spacing w:before="40" w:after="60"/>
      </w:pPr>
      <w:r>
        <w:rPr>
          <w:rStyle w:val="Appelnotedebasdep"/>
        </w:rPr>
        <w:footnoteRef/>
      </w:r>
      <w:r>
        <w:rPr>
          <w:sz w:val="16"/>
          <w:szCs w:val="16"/>
        </w:rPr>
        <w:t>Ces exemples explicitent les conditions d’application des stipulations statutaires ou contractuelles relatives à la liquidité des titres offerts. Ils décrivent au moins les deux hypothèses suivantes pour l’investisseur qui lui permettent de comprendre les modalités de calcul de la quote-part (du produit de cession de la société/du projet, du produit de liquidation ou des dividendes) qu’il pourrait être amené à percevoir et celle revenant, éventuellement, aux porteurs d’autres catégories de titres financiers dans l’hypothèse où surviendrait un événement déclenchant la mise en œuvre d’une de ces clauses de liquidité :</w:t>
      </w:r>
    </w:p>
    <w:p w:rsidR="00D26076" w:rsidRDefault="00D26076" w:rsidP="00D26076">
      <w:pPr>
        <w:pStyle w:val="Standard"/>
        <w:numPr>
          <w:ilvl w:val="0"/>
          <w:numId w:val="30"/>
        </w:numPr>
        <w:spacing w:before="40" w:after="60"/>
        <w:ind w:left="426"/>
      </w:pPr>
      <w:r>
        <w:rPr>
          <w:sz w:val="16"/>
          <w:szCs w:val="16"/>
        </w:rPr>
        <w:t>un scénario où la valeur de la société est divisée par quatre depuis la date d’investissement ; et</w:t>
      </w:r>
    </w:p>
    <w:p w:rsidR="00D26076" w:rsidRDefault="00D26076" w:rsidP="00D26076">
      <w:pPr>
        <w:pStyle w:val="Standard"/>
        <w:numPr>
          <w:ilvl w:val="0"/>
          <w:numId w:val="4"/>
        </w:numPr>
        <w:spacing w:before="40" w:after="60"/>
        <w:ind w:left="426"/>
      </w:pPr>
      <w:r>
        <w:rPr>
          <w:sz w:val="16"/>
          <w:szCs w:val="16"/>
        </w:rPr>
        <w:t>un scénario où la valeur de la société augmente de 50 % depuis la date d’investissement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31D32"/>
    <w:multiLevelType w:val="hybridMultilevel"/>
    <w:tmpl w:val="9FA2ACEE"/>
    <w:lvl w:ilvl="0" w:tplc="D8EEABA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AF5719"/>
    <w:multiLevelType w:val="multilevel"/>
    <w:tmpl w:val="51105384"/>
    <w:styleLink w:val="WWNum6"/>
    <w:lvl w:ilvl="0">
      <w:numFmt w:val="bullet"/>
      <w:lvlText w:val="●"/>
      <w:lvlJc w:val="left"/>
      <w:pPr>
        <w:ind w:left="720" w:hanging="360"/>
      </w:pPr>
      <w:rPr>
        <w:sz w:val="21"/>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 w15:restartNumberingAfterBreak="0">
    <w:nsid w:val="0D676A28"/>
    <w:multiLevelType w:val="hybridMultilevel"/>
    <w:tmpl w:val="AE6CE218"/>
    <w:lvl w:ilvl="0" w:tplc="41944050">
      <w:start w:val="82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692E5B"/>
    <w:multiLevelType w:val="multilevel"/>
    <w:tmpl w:val="3516FA08"/>
    <w:styleLink w:val="WWNum9"/>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13BD6083"/>
    <w:multiLevelType w:val="hybridMultilevel"/>
    <w:tmpl w:val="7F4037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2D7D4C"/>
    <w:multiLevelType w:val="multilevel"/>
    <w:tmpl w:val="1B2E21D8"/>
    <w:styleLink w:val="WWNum3"/>
    <w:lvl w:ilvl="0">
      <w:numFmt w:val="bullet"/>
      <w:lvlText w:val="&gt;"/>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sz w:val="21"/>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AF10A6"/>
    <w:multiLevelType w:val="multilevel"/>
    <w:tmpl w:val="D870F330"/>
    <w:styleLink w:val="WWNum8"/>
    <w:lvl w:ilvl="0">
      <w:numFmt w:val="bullet"/>
      <w:lvlText w:val="●"/>
      <w:lvlJc w:val="left"/>
      <w:pPr>
        <w:ind w:left="425" w:hanging="360"/>
      </w:pPr>
      <w:rPr>
        <w:rFonts w:ascii="Noto Sans Symbols" w:eastAsia="Noto Sans Symbols" w:hAnsi="Noto Sans Symbols" w:cs="Noto Sans Symbols"/>
        <w:b/>
        <w:sz w:val="22"/>
      </w:rPr>
    </w:lvl>
    <w:lvl w:ilvl="1">
      <w:numFmt w:val="bullet"/>
      <w:lvlText w:val="○"/>
      <w:lvlJc w:val="left"/>
      <w:pPr>
        <w:ind w:left="850" w:hanging="359"/>
      </w:pPr>
      <w:rPr>
        <w:rFonts w:ascii="Courier New" w:eastAsia="Courier New" w:hAnsi="Courier New" w:cs="Courier New"/>
        <w:b w:val="0"/>
        <w:sz w:val="22"/>
      </w:rPr>
    </w:lvl>
    <w:lvl w:ilvl="2">
      <w:numFmt w:val="bullet"/>
      <w:lvlText w:val="■"/>
      <w:lvlJc w:val="left"/>
      <w:pPr>
        <w:ind w:left="2880" w:hanging="360"/>
      </w:pPr>
      <w:rPr>
        <w:rFonts w:ascii="Noto Sans Symbols" w:eastAsia="Noto Sans Symbols" w:hAnsi="Noto Sans Symbols" w:cs="Noto Sans Symbols"/>
      </w:rPr>
    </w:lvl>
    <w:lvl w:ilvl="3">
      <w:numFmt w:val="bullet"/>
      <w:lvlText w:val="●"/>
      <w:lvlJc w:val="left"/>
      <w:pPr>
        <w:ind w:left="3600" w:hanging="360"/>
      </w:pPr>
      <w:rPr>
        <w:rFonts w:ascii="Noto Sans Symbols" w:eastAsia="Noto Sans Symbols" w:hAnsi="Noto Sans Symbols" w:cs="Noto Sans Symbols"/>
      </w:rPr>
    </w:lvl>
    <w:lvl w:ilvl="4">
      <w:numFmt w:val="bullet"/>
      <w:lvlText w:val="○"/>
      <w:lvlJc w:val="left"/>
      <w:pPr>
        <w:ind w:left="4320" w:hanging="360"/>
      </w:pPr>
      <w:rPr>
        <w:rFonts w:ascii="Courier New" w:eastAsia="Courier New" w:hAnsi="Courier New" w:cs="Courier New"/>
      </w:rPr>
    </w:lvl>
    <w:lvl w:ilvl="5">
      <w:numFmt w:val="bullet"/>
      <w:lvlText w:val="■"/>
      <w:lvlJc w:val="left"/>
      <w:pPr>
        <w:ind w:left="5040" w:hanging="360"/>
      </w:pPr>
      <w:rPr>
        <w:rFonts w:ascii="Noto Sans Symbols" w:eastAsia="Noto Sans Symbols" w:hAnsi="Noto Sans Symbols" w:cs="Noto Sans Symbols"/>
      </w:rPr>
    </w:lvl>
    <w:lvl w:ilvl="6">
      <w:numFmt w:val="bullet"/>
      <w:lvlText w:val="●"/>
      <w:lvlJc w:val="left"/>
      <w:pPr>
        <w:ind w:left="5760" w:hanging="360"/>
      </w:pPr>
      <w:rPr>
        <w:rFonts w:ascii="Noto Sans Symbols" w:eastAsia="Noto Sans Symbols" w:hAnsi="Noto Sans Symbols" w:cs="Noto Sans Symbols"/>
      </w:rPr>
    </w:lvl>
    <w:lvl w:ilvl="7">
      <w:numFmt w:val="bullet"/>
      <w:lvlText w:val="○"/>
      <w:lvlJc w:val="left"/>
      <w:pPr>
        <w:ind w:left="6480" w:hanging="360"/>
      </w:pPr>
      <w:rPr>
        <w:rFonts w:ascii="Courier New" w:eastAsia="Courier New" w:hAnsi="Courier New" w:cs="Courier New"/>
      </w:rPr>
    </w:lvl>
    <w:lvl w:ilvl="8">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30EC7DE8"/>
    <w:multiLevelType w:val="hybridMultilevel"/>
    <w:tmpl w:val="584E28AC"/>
    <w:lvl w:ilvl="0" w:tplc="C68218D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4F3DD9"/>
    <w:multiLevelType w:val="hybridMultilevel"/>
    <w:tmpl w:val="D26C1212"/>
    <w:lvl w:ilvl="0" w:tplc="41944050">
      <w:start w:val="82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8E53E0"/>
    <w:multiLevelType w:val="multilevel"/>
    <w:tmpl w:val="E59065BC"/>
    <w:styleLink w:val="WWNum7"/>
    <w:lvl w:ilvl="0">
      <w:numFmt w:val="bullet"/>
      <w:lvlText w:val="●"/>
      <w:lvlJc w:val="left"/>
      <w:pPr>
        <w:ind w:left="720" w:hanging="360"/>
      </w:pPr>
      <w:rPr>
        <w:sz w:val="21"/>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0" w15:restartNumberingAfterBreak="0">
    <w:nsid w:val="3D715822"/>
    <w:multiLevelType w:val="multilevel"/>
    <w:tmpl w:val="A8D6C932"/>
    <w:styleLink w:val="WWNum1"/>
    <w:lvl w:ilvl="0">
      <w:numFmt w:val="bullet"/>
      <w:lvlText w:val="●"/>
      <w:lvlJc w:val="left"/>
      <w:pPr>
        <w:ind w:left="720" w:hanging="360"/>
      </w:pPr>
      <w:rPr>
        <w:sz w:val="21"/>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1" w15:restartNumberingAfterBreak="0">
    <w:nsid w:val="548247E3"/>
    <w:multiLevelType w:val="multilevel"/>
    <w:tmpl w:val="0A68A2E0"/>
    <w:styleLink w:val="WWNum10"/>
    <w:lvl w:ilvl="0">
      <w:numFmt w:val="bullet"/>
      <w:lvlText w:val="-"/>
      <w:lvlJc w:val="left"/>
      <w:pPr>
        <w:ind w:left="644" w:hanging="359"/>
      </w:pPr>
      <w:rPr>
        <w:rFonts w:ascii="Arial" w:eastAsia="Arial" w:hAnsi="Arial" w:cs="Arial"/>
        <w:i w:val="0"/>
        <w:sz w:val="21"/>
      </w:rPr>
    </w:lvl>
    <w:lvl w:ilvl="1">
      <w:numFmt w:val="bullet"/>
      <w:lvlText w:val="o"/>
      <w:lvlJc w:val="left"/>
      <w:pPr>
        <w:ind w:left="1364" w:hanging="360"/>
      </w:pPr>
      <w:rPr>
        <w:rFonts w:ascii="Courier New" w:eastAsia="Courier New" w:hAnsi="Courier New" w:cs="Courier New"/>
      </w:rPr>
    </w:lvl>
    <w:lvl w:ilvl="2">
      <w:numFmt w:val="bullet"/>
      <w:lvlText w:val="▪"/>
      <w:lvlJc w:val="left"/>
      <w:pPr>
        <w:ind w:left="2084" w:hanging="360"/>
      </w:pPr>
      <w:rPr>
        <w:rFonts w:ascii="Noto Sans Symbols" w:eastAsia="Noto Sans Symbols" w:hAnsi="Noto Sans Symbols" w:cs="Noto Sans Symbols"/>
      </w:rPr>
    </w:lvl>
    <w:lvl w:ilvl="3">
      <w:numFmt w:val="bullet"/>
      <w:lvlText w:val="●"/>
      <w:lvlJc w:val="left"/>
      <w:pPr>
        <w:ind w:left="2804" w:hanging="360"/>
      </w:pPr>
      <w:rPr>
        <w:rFonts w:ascii="Noto Sans Symbols" w:eastAsia="Noto Sans Symbols" w:hAnsi="Noto Sans Symbols" w:cs="Noto Sans Symbols"/>
      </w:rPr>
    </w:lvl>
    <w:lvl w:ilvl="4">
      <w:numFmt w:val="bullet"/>
      <w:lvlText w:val="o"/>
      <w:lvlJc w:val="left"/>
      <w:pPr>
        <w:ind w:left="3524" w:hanging="360"/>
      </w:pPr>
      <w:rPr>
        <w:rFonts w:ascii="Courier New" w:eastAsia="Courier New" w:hAnsi="Courier New" w:cs="Courier New"/>
      </w:rPr>
    </w:lvl>
    <w:lvl w:ilvl="5">
      <w:numFmt w:val="bullet"/>
      <w:lvlText w:val="▪"/>
      <w:lvlJc w:val="left"/>
      <w:pPr>
        <w:ind w:left="4244" w:hanging="360"/>
      </w:pPr>
      <w:rPr>
        <w:rFonts w:ascii="Noto Sans Symbols" w:eastAsia="Noto Sans Symbols" w:hAnsi="Noto Sans Symbols" w:cs="Noto Sans Symbols"/>
      </w:rPr>
    </w:lvl>
    <w:lvl w:ilvl="6">
      <w:numFmt w:val="bullet"/>
      <w:lvlText w:val="●"/>
      <w:lvlJc w:val="left"/>
      <w:pPr>
        <w:ind w:left="4964" w:hanging="360"/>
      </w:pPr>
      <w:rPr>
        <w:rFonts w:ascii="Noto Sans Symbols" w:eastAsia="Noto Sans Symbols" w:hAnsi="Noto Sans Symbols" w:cs="Noto Sans Symbols"/>
      </w:rPr>
    </w:lvl>
    <w:lvl w:ilvl="7">
      <w:numFmt w:val="bullet"/>
      <w:lvlText w:val="o"/>
      <w:lvlJc w:val="left"/>
      <w:pPr>
        <w:ind w:left="5684" w:hanging="360"/>
      </w:pPr>
      <w:rPr>
        <w:rFonts w:ascii="Courier New" w:eastAsia="Courier New" w:hAnsi="Courier New" w:cs="Courier New"/>
      </w:rPr>
    </w:lvl>
    <w:lvl w:ilvl="8">
      <w:numFmt w:val="bullet"/>
      <w:lvlText w:val="▪"/>
      <w:lvlJc w:val="left"/>
      <w:pPr>
        <w:ind w:left="6404" w:hanging="360"/>
      </w:pPr>
      <w:rPr>
        <w:rFonts w:ascii="Noto Sans Symbols" w:eastAsia="Noto Sans Symbols" w:hAnsi="Noto Sans Symbols" w:cs="Noto Sans Symbols"/>
      </w:rPr>
    </w:lvl>
  </w:abstractNum>
  <w:abstractNum w:abstractNumId="12" w15:restartNumberingAfterBreak="0">
    <w:nsid w:val="59BF2C49"/>
    <w:multiLevelType w:val="multilevel"/>
    <w:tmpl w:val="3B1622DE"/>
    <w:styleLink w:val="WWNum5"/>
    <w:lvl w:ilvl="0">
      <w:numFmt w:val="bullet"/>
      <w:lvlText w:val="●"/>
      <w:lvlJc w:val="left"/>
      <w:pPr>
        <w:ind w:left="720" w:hanging="360"/>
      </w:pPr>
      <w:rPr>
        <w:rFonts w:ascii="Noto Sans Symbols" w:eastAsia="Noto Sans Symbols" w:hAnsi="Noto Sans Symbols" w:cs="Noto Sans Symbols"/>
        <w:b w:val="0"/>
        <w:sz w:val="20"/>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2E16DD"/>
    <w:multiLevelType w:val="multilevel"/>
    <w:tmpl w:val="94809E26"/>
    <w:styleLink w:val="WWNum4"/>
    <w:lvl w:ilvl="0">
      <w:numFmt w:val="bullet"/>
      <w:lvlText w:val="-"/>
      <w:lvlJc w:val="left"/>
      <w:pPr>
        <w:ind w:left="720" w:hanging="360"/>
      </w:pPr>
      <w:rPr>
        <w:rFonts w:ascii="Arial" w:eastAsia="Arial" w:hAnsi="Arial" w:cs="Arial"/>
        <w:sz w:val="21"/>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B971E1B"/>
    <w:multiLevelType w:val="multilevel"/>
    <w:tmpl w:val="3A0C6258"/>
    <w:styleLink w:val="WWNum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abstractNumId w:val="10"/>
  </w:num>
  <w:num w:numId="2">
    <w:abstractNumId w:val="14"/>
  </w:num>
  <w:num w:numId="3">
    <w:abstractNumId w:val="5"/>
  </w:num>
  <w:num w:numId="4">
    <w:abstractNumId w:val="13"/>
  </w:num>
  <w:num w:numId="5">
    <w:abstractNumId w:val="12"/>
  </w:num>
  <w:num w:numId="6">
    <w:abstractNumId w:val="1"/>
  </w:num>
  <w:num w:numId="7">
    <w:abstractNumId w:val="9"/>
  </w:num>
  <w:num w:numId="8">
    <w:abstractNumId w:val="6"/>
  </w:num>
  <w:num w:numId="9">
    <w:abstractNumId w:val="3"/>
  </w:num>
  <w:num w:numId="10">
    <w:abstractNumId w:val="11"/>
  </w:num>
  <w:num w:numId="11">
    <w:abstractNumId w:val="3"/>
  </w:num>
  <w:num w:numId="12">
    <w:abstractNumId w:val="12"/>
  </w:num>
  <w:num w:numId="13">
    <w:abstractNumId w:val="6"/>
  </w:num>
  <w:num w:numId="14">
    <w:abstractNumId w:val="14"/>
  </w:num>
  <w:num w:numId="15">
    <w:abstractNumId w:val="11"/>
  </w:num>
  <w:num w:numId="16">
    <w:abstractNumId w:val="1"/>
  </w:num>
  <w:num w:numId="17">
    <w:abstractNumId w:val="10"/>
  </w:num>
  <w:num w:numId="18">
    <w:abstractNumId w:val="13"/>
  </w:num>
  <w:num w:numId="19">
    <w:abstractNumId w:val="9"/>
  </w:num>
  <w:num w:numId="20">
    <w:abstractNumId w:val="8"/>
  </w:num>
  <w:num w:numId="21">
    <w:abstractNumId w:val="2"/>
  </w:num>
  <w:num w:numId="22">
    <w:abstractNumId w:val="7"/>
  </w:num>
  <w:num w:numId="23">
    <w:abstractNumId w:val="4"/>
  </w:num>
  <w:num w:numId="24">
    <w:abstractNumId w:val="12"/>
  </w:num>
  <w:num w:numId="25">
    <w:abstractNumId w:val="14"/>
  </w:num>
  <w:num w:numId="26">
    <w:abstractNumId w:val="1"/>
  </w:num>
  <w:num w:numId="27">
    <w:abstractNumId w:val="1"/>
  </w:num>
  <w:num w:numId="28">
    <w:abstractNumId w:val="6"/>
  </w:num>
  <w:num w:numId="29">
    <w:abstractNumId w:val="11"/>
  </w:num>
  <w:num w:numId="30">
    <w:abstractNumId w:val="14"/>
  </w:num>
  <w:num w:numId="31">
    <w:abstractNumId w:val="10"/>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8C4"/>
    <w:rsid w:val="000309C9"/>
    <w:rsid w:val="000A3220"/>
    <w:rsid w:val="000A396D"/>
    <w:rsid w:val="000B601C"/>
    <w:rsid w:val="001924BC"/>
    <w:rsid w:val="001D5B26"/>
    <w:rsid w:val="00237E90"/>
    <w:rsid w:val="00293287"/>
    <w:rsid w:val="0029440F"/>
    <w:rsid w:val="002D5BFB"/>
    <w:rsid w:val="00301A46"/>
    <w:rsid w:val="00302D39"/>
    <w:rsid w:val="00327B0A"/>
    <w:rsid w:val="00352D38"/>
    <w:rsid w:val="00364C2D"/>
    <w:rsid w:val="00366AA8"/>
    <w:rsid w:val="00371F14"/>
    <w:rsid w:val="00375392"/>
    <w:rsid w:val="003A7F21"/>
    <w:rsid w:val="00400244"/>
    <w:rsid w:val="00414BB4"/>
    <w:rsid w:val="00446540"/>
    <w:rsid w:val="00453736"/>
    <w:rsid w:val="00476AED"/>
    <w:rsid w:val="00520759"/>
    <w:rsid w:val="00566C23"/>
    <w:rsid w:val="005868B0"/>
    <w:rsid w:val="005D3860"/>
    <w:rsid w:val="005E024C"/>
    <w:rsid w:val="005E74BC"/>
    <w:rsid w:val="00614A9A"/>
    <w:rsid w:val="0062711C"/>
    <w:rsid w:val="006642FB"/>
    <w:rsid w:val="00674333"/>
    <w:rsid w:val="006858C4"/>
    <w:rsid w:val="006B3FDE"/>
    <w:rsid w:val="00703434"/>
    <w:rsid w:val="00721AB2"/>
    <w:rsid w:val="0072619B"/>
    <w:rsid w:val="007300C1"/>
    <w:rsid w:val="007546A7"/>
    <w:rsid w:val="007708D9"/>
    <w:rsid w:val="007772C5"/>
    <w:rsid w:val="00785BE0"/>
    <w:rsid w:val="007A324F"/>
    <w:rsid w:val="007B1E73"/>
    <w:rsid w:val="007C2ED7"/>
    <w:rsid w:val="007C68E1"/>
    <w:rsid w:val="0080288B"/>
    <w:rsid w:val="008049F2"/>
    <w:rsid w:val="00810CD3"/>
    <w:rsid w:val="00811134"/>
    <w:rsid w:val="0084538E"/>
    <w:rsid w:val="00857A63"/>
    <w:rsid w:val="008C397E"/>
    <w:rsid w:val="008D12D7"/>
    <w:rsid w:val="00915E44"/>
    <w:rsid w:val="00927326"/>
    <w:rsid w:val="00946B17"/>
    <w:rsid w:val="0097030F"/>
    <w:rsid w:val="009805F6"/>
    <w:rsid w:val="00987BD8"/>
    <w:rsid w:val="0099340E"/>
    <w:rsid w:val="009B49C4"/>
    <w:rsid w:val="009C0929"/>
    <w:rsid w:val="009C2FB9"/>
    <w:rsid w:val="009C416D"/>
    <w:rsid w:val="009D05DD"/>
    <w:rsid w:val="009E7C97"/>
    <w:rsid w:val="00A61EA9"/>
    <w:rsid w:val="00A71B83"/>
    <w:rsid w:val="00A845E4"/>
    <w:rsid w:val="00A90563"/>
    <w:rsid w:val="00A96BEC"/>
    <w:rsid w:val="00AB12CA"/>
    <w:rsid w:val="00AC196C"/>
    <w:rsid w:val="00B062AA"/>
    <w:rsid w:val="00B1015C"/>
    <w:rsid w:val="00B5753A"/>
    <w:rsid w:val="00B7636C"/>
    <w:rsid w:val="00B85B7E"/>
    <w:rsid w:val="00B96B10"/>
    <w:rsid w:val="00C21C58"/>
    <w:rsid w:val="00C34058"/>
    <w:rsid w:val="00C65D2F"/>
    <w:rsid w:val="00CC4B31"/>
    <w:rsid w:val="00CE7722"/>
    <w:rsid w:val="00CF6DFF"/>
    <w:rsid w:val="00D26076"/>
    <w:rsid w:val="00D2671F"/>
    <w:rsid w:val="00D278B3"/>
    <w:rsid w:val="00D46680"/>
    <w:rsid w:val="00D66AEB"/>
    <w:rsid w:val="00DB53C7"/>
    <w:rsid w:val="00DB5E8E"/>
    <w:rsid w:val="00DC6029"/>
    <w:rsid w:val="00DC7EC8"/>
    <w:rsid w:val="00E15807"/>
    <w:rsid w:val="00E47992"/>
    <w:rsid w:val="00E85E76"/>
    <w:rsid w:val="00EC5B0C"/>
    <w:rsid w:val="00EE1F51"/>
    <w:rsid w:val="00EF3292"/>
    <w:rsid w:val="00EF49CE"/>
    <w:rsid w:val="00F2265E"/>
    <w:rsid w:val="00F65B8A"/>
    <w:rsid w:val="00FA285B"/>
    <w:rsid w:val="00FA711B"/>
    <w:rsid w:val="00FB676B"/>
    <w:rsid w:val="00FB74C0"/>
    <w:rsid w:val="00FC38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1F69F0-3B33-4924-B115-63036694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1"/>
        <w:szCs w:val="21"/>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jc w:val="both"/>
    </w:pPr>
  </w:style>
  <w:style w:type="paragraph" w:styleId="Titre1">
    <w:name w:val="heading 1"/>
    <w:basedOn w:val="Normal"/>
    <w:next w:val="Standard"/>
    <w:link w:val="Titre1Car"/>
    <w:pPr>
      <w:keepNext/>
      <w:keepLines/>
      <w:spacing w:before="360"/>
      <w:outlineLvl w:val="0"/>
    </w:pPr>
    <w:rPr>
      <w:rFonts w:ascii="Arial Rounded" w:eastAsia="Arial Rounded" w:hAnsi="Arial Rounded" w:cs="Arial Rounded"/>
      <w:color w:val="F68E26"/>
      <w:sz w:val="28"/>
      <w:szCs w:val="28"/>
    </w:rPr>
  </w:style>
  <w:style w:type="paragraph" w:styleId="Titre2">
    <w:name w:val="heading 2"/>
    <w:basedOn w:val="Normal"/>
    <w:next w:val="Standard"/>
    <w:pPr>
      <w:keepNext/>
      <w:keepLines/>
      <w:spacing w:before="240" w:after="80"/>
      <w:ind w:left="1120" w:hanging="380"/>
      <w:outlineLvl w:val="1"/>
    </w:pPr>
    <w:rPr>
      <w:b/>
      <w:smallCaps/>
      <w:color w:val="7F7F7F"/>
      <w:sz w:val="24"/>
      <w:szCs w:val="24"/>
    </w:rPr>
  </w:style>
  <w:style w:type="paragraph" w:styleId="Titre3">
    <w:name w:val="heading 3"/>
    <w:basedOn w:val="Normal"/>
    <w:next w:val="Standard"/>
    <w:pPr>
      <w:keepNext/>
      <w:keepLines/>
      <w:spacing w:before="200" w:after="280"/>
      <w:ind w:left="940" w:right="940"/>
      <w:outlineLvl w:val="2"/>
    </w:pPr>
    <w:rPr>
      <w:color w:val="F68E26"/>
    </w:rPr>
  </w:style>
  <w:style w:type="paragraph" w:styleId="Titre4">
    <w:name w:val="heading 4"/>
    <w:basedOn w:val="Normal"/>
    <w:next w:val="Standard"/>
    <w:pPr>
      <w:keepNext/>
      <w:keepLines/>
      <w:spacing w:before="240" w:after="40"/>
      <w:outlineLvl w:val="3"/>
    </w:pPr>
    <w:rPr>
      <w:b/>
      <w:sz w:val="24"/>
      <w:szCs w:val="24"/>
    </w:rPr>
  </w:style>
  <w:style w:type="paragraph" w:styleId="Titre5">
    <w:name w:val="heading 5"/>
    <w:basedOn w:val="Normal"/>
    <w:next w:val="Standard"/>
    <w:pPr>
      <w:keepNext/>
      <w:keepLines/>
      <w:spacing w:before="220" w:after="40"/>
      <w:outlineLvl w:val="4"/>
    </w:pPr>
    <w:rPr>
      <w:b/>
      <w:sz w:val="22"/>
      <w:szCs w:val="22"/>
    </w:rPr>
  </w:style>
  <w:style w:type="paragraph" w:styleId="Titre6">
    <w:name w:val="heading 6"/>
    <w:basedOn w:val="Normal"/>
    <w:next w:val="Standard"/>
    <w:pPr>
      <w:keepNext/>
      <w:keepLines/>
      <w:spacing w:before="240" w:after="240"/>
      <w:ind w:left="720" w:hanging="360"/>
      <w:outlineLvl w:val="5"/>
    </w:pPr>
    <w:rPr>
      <w:sz w:val="18"/>
      <w:szCs w:val="18"/>
      <w:shd w:val="clear" w:color="auto" w:fill="FFFF0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pacing w:line="312" w:lineRule="auto"/>
      <w:jc w:val="both"/>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line="276" w:lineRule="auto"/>
    </w:pPr>
  </w:style>
  <w:style w:type="paragraph" w:styleId="Liste">
    <w:name w:val="List"/>
    <w:basedOn w:val="Textbody"/>
    <w:rPr>
      <w:sz w:val="24"/>
    </w:rPr>
  </w:style>
  <w:style w:type="paragraph" w:styleId="Lgende">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re">
    <w:name w:val="Title"/>
    <w:basedOn w:val="Normal"/>
    <w:next w:val="Standard"/>
    <w:pPr>
      <w:keepNext/>
      <w:keepLines/>
      <w:ind w:left="720"/>
    </w:pPr>
    <w:rPr>
      <w:rFonts w:ascii="Arial Rounded" w:eastAsia="Arial Rounded" w:hAnsi="Arial Rounded" w:cs="Arial Rounded"/>
      <w:color w:val="F68E26"/>
      <w:sz w:val="32"/>
      <w:szCs w:val="32"/>
    </w:rPr>
  </w:style>
  <w:style w:type="paragraph" w:styleId="Sous-titre">
    <w:name w:val="Subtitle"/>
    <w:basedOn w:val="Normal"/>
    <w:next w:val="Standard"/>
    <w:link w:val="Sous-titreCar"/>
    <w:pPr>
      <w:keepNext/>
      <w:keepLines/>
      <w:spacing w:before="360" w:after="80"/>
    </w:pPr>
    <w:rPr>
      <w:rFonts w:ascii="Georgia" w:eastAsia="Georgia" w:hAnsi="Georgia" w:cs="Georgia"/>
      <w:i/>
      <w:color w:val="666666"/>
      <w:sz w:val="48"/>
      <w:szCs w:val="48"/>
    </w:rPr>
  </w:style>
  <w:style w:type="paragraph" w:customStyle="1" w:styleId="Footnote">
    <w:name w:val="Footnote"/>
    <w:basedOn w:val="Standard"/>
  </w:style>
  <w:style w:type="paragraph" w:styleId="Pieddepage">
    <w:name w:val="footer"/>
    <w:basedOn w:val="Standard"/>
  </w:style>
  <w:style w:type="character" w:customStyle="1" w:styleId="ListLabel1">
    <w:name w:val="ListLabel 1"/>
    <w:rPr>
      <w:sz w:val="21"/>
      <w:u w:val="none"/>
    </w:rPr>
  </w:style>
  <w:style w:type="character" w:customStyle="1" w:styleId="ListLabel2">
    <w:name w:val="ListLabel 2"/>
    <w:rPr>
      <w:u w:val="none"/>
    </w:rPr>
  </w:style>
  <w:style w:type="character" w:customStyle="1" w:styleId="ListLabel3">
    <w:name w:val="ListLabel 3"/>
    <w:rPr>
      <w:u w:val="none"/>
    </w:rPr>
  </w:style>
  <w:style w:type="character" w:customStyle="1" w:styleId="ListLabel4">
    <w:name w:val="ListLabel 4"/>
    <w:rPr>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rPr>
      <w:u w:val="none"/>
    </w:rPr>
  </w:style>
  <w:style w:type="character" w:customStyle="1" w:styleId="ListLabel11">
    <w:name w:val="ListLabel 11"/>
    <w:rPr>
      <w:u w:val="none"/>
    </w:rPr>
  </w:style>
  <w:style w:type="character" w:customStyle="1" w:styleId="ListLabel12">
    <w:name w:val="ListLabel 12"/>
    <w:rPr>
      <w:u w:val="none"/>
    </w:rPr>
  </w:style>
  <w:style w:type="character" w:customStyle="1" w:styleId="ListLabel13">
    <w:name w:val="ListLabel 13"/>
    <w:rPr>
      <w:u w:val="none"/>
    </w:rPr>
  </w:style>
  <w:style w:type="character" w:customStyle="1" w:styleId="ListLabel14">
    <w:name w:val="ListLabel 14"/>
    <w:rPr>
      <w:u w:val="none"/>
    </w:rPr>
  </w:style>
  <w:style w:type="character" w:customStyle="1" w:styleId="ListLabel15">
    <w:name w:val="ListLabel 15"/>
    <w:rPr>
      <w:u w:val="none"/>
    </w:rPr>
  </w:style>
  <w:style w:type="character" w:customStyle="1" w:styleId="ListLabel16">
    <w:name w:val="ListLabel 16"/>
    <w:rPr>
      <w:u w:val="none"/>
    </w:rPr>
  </w:style>
  <w:style w:type="character" w:customStyle="1" w:styleId="ListLabel17">
    <w:name w:val="ListLabel 17"/>
    <w:rPr>
      <w:u w:val="none"/>
    </w:rPr>
  </w:style>
  <w:style w:type="character" w:customStyle="1" w:styleId="ListLabel18">
    <w:name w:val="ListLabel 18"/>
    <w:rPr>
      <w:u w:val="none"/>
    </w:rPr>
  </w:style>
  <w:style w:type="character" w:customStyle="1" w:styleId="ListLabel19">
    <w:name w:val="ListLabel 19"/>
    <w:rPr>
      <w:rFonts w:eastAsia="Arial" w:cs="Arial"/>
    </w:rPr>
  </w:style>
  <w:style w:type="character" w:customStyle="1" w:styleId="ListLabel20">
    <w:name w:val="ListLabel 20"/>
    <w:rPr>
      <w:rFonts w:eastAsia="Arial" w:cs="Arial"/>
      <w:sz w:val="21"/>
    </w:rPr>
  </w:style>
  <w:style w:type="character" w:customStyle="1" w:styleId="ListLabel21">
    <w:name w:val="ListLabel 21"/>
    <w:rPr>
      <w:rFonts w:eastAsia="Noto Sans Symbols" w:cs="Noto Sans Symbols"/>
    </w:rPr>
  </w:style>
  <w:style w:type="character" w:customStyle="1" w:styleId="ListLabel22">
    <w:name w:val="ListLabel 22"/>
    <w:rPr>
      <w:rFonts w:eastAsia="Noto Sans Symbols" w:cs="Noto Sans Symbols"/>
    </w:rPr>
  </w:style>
  <w:style w:type="character" w:customStyle="1" w:styleId="ListLabel23">
    <w:name w:val="ListLabel 23"/>
    <w:rPr>
      <w:rFonts w:eastAsia="Courier New" w:cs="Courier New"/>
    </w:rPr>
  </w:style>
  <w:style w:type="character" w:customStyle="1" w:styleId="ListLabel24">
    <w:name w:val="ListLabel 24"/>
    <w:rPr>
      <w:rFonts w:eastAsia="Noto Sans Symbols" w:cs="Noto Sans Symbols"/>
    </w:rPr>
  </w:style>
  <w:style w:type="character" w:customStyle="1" w:styleId="ListLabel25">
    <w:name w:val="ListLabel 25"/>
    <w:rPr>
      <w:rFonts w:eastAsia="Noto Sans Symbols" w:cs="Noto Sans Symbols"/>
    </w:rPr>
  </w:style>
  <w:style w:type="character" w:customStyle="1" w:styleId="ListLabel26">
    <w:name w:val="ListLabel 26"/>
    <w:rPr>
      <w:rFonts w:eastAsia="Courier New" w:cs="Courier New"/>
    </w:rPr>
  </w:style>
  <w:style w:type="character" w:customStyle="1" w:styleId="ListLabel27">
    <w:name w:val="ListLabel 27"/>
    <w:rPr>
      <w:rFonts w:eastAsia="Noto Sans Symbols" w:cs="Noto Sans Symbols"/>
    </w:rPr>
  </w:style>
  <w:style w:type="character" w:customStyle="1" w:styleId="ListLabel28">
    <w:name w:val="ListLabel 28"/>
    <w:rPr>
      <w:rFonts w:eastAsia="Arial" w:cs="Arial"/>
      <w:sz w:val="21"/>
    </w:rPr>
  </w:style>
  <w:style w:type="character" w:customStyle="1" w:styleId="ListLabel29">
    <w:name w:val="ListLabel 29"/>
    <w:rPr>
      <w:rFonts w:eastAsia="Courier New" w:cs="Courier New"/>
    </w:rPr>
  </w:style>
  <w:style w:type="character" w:customStyle="1" w:styleId="ListLabel30">
    <w:name w:val="ListLabel 30"/>
    <w:rPr>
      <w:rFonts w:eastAsia="Noto Sans Symbols" w:cs="Noto Sans Symbols"/>
    </w:rPr>
  </w:style>
  <w:style w:type="character" w:customStyle="1" w:styleId="ListLabel31">
    <w:name w:val="ListLabel 31"/>
    <w:rPr>
      <w:rFonts w:eastAsia="Noto Sans Symbols" w:cs="Noto Sans Symbols"/>
    </w:rPr>
  </w:style>
  <w:style w:type="character" w:customStyle="1" w:styleId="ListLabel32">
    <w:name w:val="ListLabel 32"/>
    <w:rPr>
      <w:rFonts w:eastAsia="Courier New" w:cs="Courier New"/>
    </w:rPr>
  </w:style>
  <w:style w:type="character" w:customStyle="1" w:styleId="ListLabel33">
    <w:name w:val="ListLabel 33"/>
    <w:rPr>
      <w:rFonts w:eastAsia="Noto Sans Symbols" w:cs="Noto Sans Symbols"/>
    </w:rPr>
  </w:style>
  <w:style w:type="character" w:customStyle="1" w:styleId="ListLabel34">
    <w:name w:val="ListLabel 34"/>
    <w:rPr>
      <w:rFonts w:eastAsia="Noto Sans Symbols" w:cs="Noto Sans Symbols"/>
    </w:rPr>
  </w:style>
  <w:style w:type="character" w:customStyle="1" w:styleId="ListLabel35">
    <w:name w:val="ListLabel 35"/>
    <w:rPr>
      <w:rFonts w:eastAsia="Courier New" w:cs="Courier New"/>
    </w:rPr>
  </w:style>
  <w:style w:type="character" w:customStyle="1" w:styleId="ListLabel36">
    <w:name w:val="ListLabel 36"/>
    <w:rPr>
      <w:rFonts w:eastAsia="Noto Sans Symbols" w:cs="Noto Sans Symbols"/>
    </w:rPr>
  </w:style>
  <w:style w:type="character" w:customStyle="1" w:styleId="ListLabel37">
    <w:name w:val="ListLabel 37"/>
    <w:rPr>
      <w:rFonts w:ascii="Calibri" w:eastAsia="Noto Sans Symbols" w:hAnsi="Calibri" w:cs="Noto Sans Symbols"/>
      <w:b w:val="0"/>
      <w:sz w:val="20"/>
    </w:rPr>
  </w:style>
  <w:style w:type="character" w:customStyle="1" w:styleId="ListLabel38">
    <w:name w:val="ListLabel 38"/>
    <w:rPr>
      <w:rFonts w:eastAsia="Courier New" w:cs="Courier New"/>
    </w:rPr>
  </w:style>
  <w:style w:type="character" w:customStyle="1" w:styleId="ListLabel39">
    <w:name w:val="ListLabel 39"/>
    <w:rPr>
      <w:rFonts w:eastAsia="Noto Sans Symbols" w:cs="Noto Sans Symbols"/>
    </w:rPr>
  </w:style>
  <w:style w:type="character" w:customStyle="1" w:styleId="ListLabel40">
    <w:name w:val="ListLabel 40"/>
    <w:rPr>
      <w:rFonts w:eastAsia="Noto Sans Symbols" w:cs="Noto Sans Symbols"/>
    </w:rPr>
  </w:style>
  <w:style w:type="character" w:customStyle="1" w:styleId="ListLabel41">
    <w:name w:val="ListLabel 41"/>
    <w:rPr>
      <w:rFonts w:eastAsia="Courier New" w:cs="Courier New"/>
    </w:rPr>
  </w:style>
  <w:style w:type="character" w:customStyle="1" w:styleId="ListLabel42">
    <w:name w:val="ListLabel 42"/>
    <w:rPr>
      <w:rFonts w:eastAsia="Noto Sans Symbols" w:cs="Noto Sans Symbols"/>
    </w:rPr>
  </w:style>
  <w:style w:type="character" w:customStyle="1" w:styleId="ListLabel43">
    <w:name w:val="ListLabel 43"/>
    <w:rPr>
      <w:rFonts w:eastAsia="Noto Sans Symbols" w:cs="Noto Sans Symbols"/>
    </w:rPr>
  </w:style>
  <w:style w:type="character" w:customStyle="1" w:styleId="ListLabel44">
    <w:name w:val="ListLabel 44"/>
    <w:rPr>
      <w:rFonts w:eastAsia="Courier New" w:cs="Courier New"/>
    </w:rPr>
  </w:style>
  <w:style w:type="character" w:customStyle="1" w:styleId="ListLabel45">
    <w:name w:val="ListLabel 45"/>
    <w:rPr>
      <w:rFonts w:eastAsia="Noto Sans Symbols" w:cs="Noto Sans Symbols"/>
    </w:rPr>
  </w:style>
  <w:style w:type="character" w:customStyle="1" w:styleId="ListLabel46">
    <w:name w:val="ListLabel 46"/>
    <w:rPr>
      <w:sz w:val="21"/>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sz w:val="21"/>
      <w:u w:val="none"/>
    </w:rPr>
  </w:style>
  <w:style w:type="character" w:customStyle="1" w:styleId="ListLabel56">
    <w:name w:val="ListLabel 56"/>
    <w:rPr>
      <w:u w:val="none"/>
    </w:rPr>
  </w:style>
  <w:style w:type="character" w:customStyle="1" w:styleId="ListLabel57">
    <w:name w:val="ListLabel 57"/>
    <w:rPr>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rFonts w:ascii="Calibri" w:eastAsia="Noto Sans Symbols" w:hAnsi="Calibri" w:cs="Noto Sans Symbols"/>
      <w:b/>
      <w:sz w:val="22"/>
    </w:rPr>
  </w:style>
  <w:style w:type="character" w:customStyle="1" w:styleId="ListLabel65">
    <w:name w:val="ListLabel 65"/>
    <w:rPr>
      <w:rFonts w:ascii="Calibri" w:eastAsia="Courier New" w:hAnsi="Calibri" w:cs="Courier New"/>
      <w:b w:val="0"/>
      <w:sz w:val="22"/>
    </w:rPr>
  </w:style>
  <w:style w:type="character" w:customStyle="1" w:styleId="ListLabel66">
    <w:name w:val="ListLabel 66"/>
    <w:rPr>
      <w:rFonts w:eastAsia="Noto Sans Symbols" w:cs="Noto Sans Symbols"/>
    </w:rPr>
  </w:style>
  <w:style w:type="character" w:customStyle="1" w:styleId="ListLabel67">
    <w:name w:val="ListLabel 67"/>
    <w:rPr>
      <w:rFonts w:eastAsia="Noto Sans Symbols" w:cs="Noto Sans Symbols"/>
    </w:rPr>
  </w:style>
  <w:style w:type="character" w:customStyle="1" w:styleId="ListLabel68">
    <w:name w:val="ListLabel 68"/>
    <w:rPr>
      <w:rFonts w:eastAsia="Courier New" w:cs="Courier New"/>
    </w:rPr>
  </w:style>
  <w:style w:type="character" w:customStyle="1" w:styleId="ListLabel69">
    <w:name w:val="ListLabel 69"/>
    <w:rPr>
      <w:rFonts w:eastAsia="Noto Sans Symbols" w:cs="Noto Sans Symbols"/>
    </w:rPr>
  </w:style>
  <w:style w:type="character" w:customStyle="1" w:styleId="ListLabel70">
    <w:name w:val="ListLabel 70"/>
    <w:rPr>
      <w:rFonts w:eastAsia="Noto Sans Symbols" w:cs="Noto Sans Symbols"/>
    </w:rPr>
  </w:style>
  <w:style w:type="character" w:customStyle="1" w:styleId="ListLabel71">
    <w:name w:val="ListLabel 71"/>
    <w:rPr>
      <w:rFonts w:eastAsia="Courier New" w:cs="Courier New"/>
    </w:rPr>
  </w:style>
  <w:style w:type="character" w:customStyle="1" w:styleId="ListLabel72">
    <w:name w:val="ListLabel 72"/>
    <w:rPr>
      <w:rFonts w:eastAsia="Noto Sans Symbols" w:cs="Noto Sans Symbols"/>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rFonts w:eastAsia="Arial" w:cs="Arial"/>
      <w:i w:val="0"/>
      <w:sz w:val="21"/>
    </w:rPr>
  </w:style>
  <w:style w:type="character" w:customStyle="1" w:styleId="ListLabel83">
    <w:name w:val="ListLabel 83"/>
    <w:rPr>
      <w:rFonts w:eastAsia="Courier New" w:cs="Courier New"/>
    </w:rPr>
  </w:style>
  <w:style w:type="character" w:customStyle="1" w:styleId="ListLabel84">
    <w:name w:val="ListLabel 84"/>
    <w:rPr>
      <w:rFonts w:eastAsia="Noto Sans Symbols" w:cs="Noto Sans Symbols"/>
    </w:rPr>
  </w:style>
  <w:style w:type="character" w:customStyle="1" w:styleId="ListLabel85">
    <w:name w:val="ListLabel 85"/>
    <w:rPr>
      <w:rFonts w:eastAsia="Noto Sans Symbols" w:cs="Noto Sans Symbols"/>
    </w:rPr>
  </w:style>
  <w:style w:type="character" w:customStyle="1" w:styleId="ListLabel86">
    <w:name w:val="ListLabel 86"/>
    <w:rPr>
      <w:rFonts w:eastAsia="Courier New" w:cs="Courier New"/>
    </w:rPr>
  </w:style>
  <w:style w:type="character" w:customStyle="1" w:styleId="ListLabel87">
    <w:name w:val="ListLabel 87"/>
    <w:rPr>
      <w:rFonts w:eastAsia="Noto Sans Symbols" w:cs="Noto Sans Symbols"/>
    </w:rPr>
  </w:style>
  <w:style w:type="character" w:customStyle="1" w:styleId="ListLabel88">
    <w:name w:val="ListLabel 88"/>
    <w:rPr>
      <w:rFonts w:eastAsia="Noto Sans Symbols" w:cs="Noto Sans Symbols"/>
    </w:rPr>
  </w:style>
  <w:style w:type="character" w:customStyle="1" w:styleId="ListLabel89">
    <w:name w:val="ListLabel 89"/>
    <w:rPr>
      <w:rFonts w:eastAsia="Courier New" w:cs="Courier New"/>
    </w:rPr>
  </w:style>
  <w:style w:type="character" w:customStyle="1" w:styleId="ListLabel90">
    <w:name w:val="ListLabel 90"/>
    <w:rPr>
      <w:rFonts w:eastAsia="Noto Sans Symbols" w:cs="Noto Sans Symbols"/>
    </w:rPr>
  </w:style>
  <w:style w:type="character" w:customStyle="1" w:styleId="ListLabel91">
    <w:name w:val="ListLabel 91"/>
    <w:rPr>
      <w:b/>
      <w:color w:val="1155CC"/>
      <w:u w:val="single"/>
    </w:rPr>
  </w:style>
  <w:style w:type="character" w:customStyle="1" w:styleId="Internetlink">
    <w:name w:val="Internet link"/>
    <w:rPr>
      <w:color w:val="000080"/>
      <w:u w:val="single"/>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character" w:styleId="Appelnotedebasdep">
    <w:name w:val="footnote reference"/>
    <w:basedOn w:val="Policepardfaut"/>
    <w:uiPriority w:val="99"/>
    <w:semiHidden/>
    <w:unhideWhenUsed/>
    <w:rPr>
      <w:vertAlign w:val="superscript"/>
    </w:rPr>
  </w:style>
  <w:style w:type="paragraph" w:styleId="Paragraphedeliste">
    <w:name w:val="List Paragraph"/>
    <w:basedOn w:val="Normal"/>
    <w:uiPriority w:val="34"/>
    <w:qFormat/>
    <w:rsid w:val="009D05DD"/>
    <w:pPr>
      <w:ind w:left="720"/>
      <w:contextualSpacing/>
    </w:pPr>
    <w:rPr>
      <w:rFonts w:cs="Mangal"/>
      <w:szCs w:val="19"/>
    </w:rPr>
  </w:style>
  <w:style w:type="character" w:customStyle="1" w:styleId="Titre1Car">
    <w:name w:val="Titre 1 Car"/>
    <w:basedOn w:val="Policepardfaut"/>
    <w:link w:val="Titre1"/>
    <w:rsid w:val="00D26076"/>
    <w:rPr>
      <w:rFonts w:ascii="Arial Rounded" w:eastAsia="Arial Rounded" w:hAnsi="Arial Rounded" w:cs="Arial Rounded"/>
      <w:color w:val="F68E26"/>
      <w:sz w:val="28"/>
      <w:szCs w:val="28"/>
    </w:rPr>
  </w:style>
  <w:style w:type="character" w:customStyle="1" w:styleId="Sous-titreCar">
    <w:name w:val="Sous-titre Car"/>
    <w:basedOn w:val="Policepardfaut"/>
    <w:link w:val="Sous-titre"/>
    <w:rsid w:val="00D26076"/>
    <w:rPr>
      <w:rFonts w:ascii="Georgia" w:eastAsia="Georgia" w:hAnsi="Georgia" w:cs="Georgia"/>
      <w:i/>
      <w:color w:val="666666"/>
      <w:sz w:val="48"/>
      <w:szCs w:val="48"/>
    </w:rPr>
  </w:style>
  <w:style w:type="paragraph" w:styleId="Corpsdetexte">
    <w:name w:val="Body Text"/>
    <w:basedOn w:val="Normal"/>
    <w:link w:val="CorpsdetexteCar"/>
    <w:rsid w:val="00400244"/>
    <w:pPr>
      <w:autoSpaceDN/>
      <w:spacing w:after="120"/>
      <w:jc w:val="left"/>
      <w:textAlignment w:val="auto"/>
    </w:pPr>
    <w:rPr>
      <w:rFonts w:ascii="Times New Roman" w:eastAsia="Times New Roman" w:hAnsi="Times New Roman" w:cs="Times New Roman"/>
      <w:sz w:val="24"/>
      <w:szCs w:val="24"/>
      <w:lang w:eastAsia="ar-SA" w:bidi="ar-SA"/>
    </w:rPr>
  </w:style>
  <w:style w:type="character" w:customStyle="1" w:styleId="CorpsdetexteCar">
    <w:name w:val="Corps de texte Car"/>
    <w:basedOn w:val="Policepardfaut"/>
    <w:link w:val="Corpsdetexte"/>
    <w:rsid w:val="00400244"/>
    <w:rPr>
      <w:rFonts w:ascii="Times New Roman" w:eastAsia="Times New Roman" w:hAnsi="Times New Roman" w:cs="Times New Roman"/>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herents.energie-partagee.org/ressources/webadherents-collecte-de-lepargne-comment-remplir-son-di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s.google.com/document/d/1DdYrpZffg7nYg8IeMMgk6W0DIgPiKePpK7bmbAMQgDQ/edit?usp=shari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1</Pages>
  <Words>2622</Words>
  <Characters>14424</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 Gardette</dc:creator>
  <cp:lastModifiedBy>Jean-Paul Gardette</cp:lastModifiedBy>
  <cp:revision>7</cp:revision>
  <dcterms:created xsi:type="dcterms:W3CDTF">2020-06-09T12:50:00Z</dcterms:created>
  <dcterms:modified xsi:type="dcterms:W3CDTF">2020-06-16T12:13:00Z</dcterms:modified>
</cp:coreProperties>
</file>