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CFBC" w14:textId="77777777" w:rsidR="006D5C06" w:rsidRDefault="00000000">
      <w:pPr>
        <w:jc w:val="center"/>
        <w:rPr>
          <w:rFonts w:ascii="Calibri" w:eastAsia="Calibri" w:hAnsi="Calibri" w:cstheme="majorHAnsi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0" wp14:anchorId="3AD71DC5" wp14:editId="699DEBB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8615" cy="127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81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5pt,280.65pt" to="522.35pt,280.65pt" ID="Connecteur droit 1" stroked="t" style="position:absolute;flip:x;mso-position-vertical-relative:page" wp14:anchorId="51301676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Calibri" w:cstheme="majorHAnsi"/>
          <w:b/>
          <w:bCs/>
          <w:sz w:val="30"/>
          <w:szCs w:val="30"/>
        </w:rPr>
        <w:t>ANIMATION -JEU COLLEGIENS</w:t>
      </w:r>
    </w:p>
    <w:p w14:paraId="12FE1FBD" w14:textId="77777777" w:rsidR="006D5C06" w:rsidRDefault="00000000">
      <w:pPr>
        <w:rPr>
          <w:rFonts w:ascii="Calibri" w:hAnsi="Calibri" w:cstheme="majorHAnsi"/>
          <w:sz w:val="24"/>
          <w:szCs w:val="24"/>
          <w:u w:val="single"/>
        </w:rPr>
      </w:pPr>
      <w:r>
        <w:rPr>
          <w:rFonts w:cstheme="majorHAnsi"/>
          <w:sz w:val="24"/>
          <w:szCs w:val="24"/>
          <w:u w:val="single"/>
        </w:rPr>
        <w:t>Participants  pour ICEA</w:t>
      </w:r>
      <w:r>
        <w:rPr>
          <w:rFonts w:cstheme="majorHAnsi"/>
          <w:sz w:val="24"/>
          <w:szCs w:val="24"/>
        </w:rPr>
        <w:tab/>
      </w:r>
    </w:p>
    <w:p w14:paraId="3A14513B" w14:textId="77777777" w:rsidR="006D5C06" w:rsidRDefault="00000000">
      <w:pPr>
        <w:pStyle w:val="Paragraphedeliste"/>
        <w:numPr>
          <w:ilvl w:val="0"/>
          <w:numId w:val="3"/>
        </w:numPr>
        <w:rPr>
          <w:rFonts w:ascii="Calibri" w:hAnsi="Calibri" w:cstheme="majorHAnsi"/>
          <w:sz w:val="24"/>
          <w:szCs w:val="24"/>
        </w:rPr>
      </w:pPr>
      <w:r>
        <w:rPr>
          <w:rFonts w:eastAsia="Calibri" w:cstheme="majorHAnsi"/>
          <w:sz w:val="24"/>
          <w:szCs w:val="24"/>
        </w:rPr>
        <w:t>Christian Thil</w:t>
      </w:r>
      <w:r>
        <w:rPr>
          <w:rFonts w:cstheme="majorHAnsi"/>
          <w:sz w:val="24"/>
          <w:szCs w:val="24"/>
        </w:rPr>
        <w:tab/>
      </w:r>
    </w:p>
    <w:p w14:paraId="387D076C" w14:textId="77777777" w:rsidR="006D5C06" w:rsidRDefault="00000000">
      <w:pPr>
        <w:pStyle w:val="Paragraphedeliste"/>
        <w:numPr>
          <w:ilvl w:val="0"/>
          <w:numId w:val="3"/>
        </w:numPr>
        <w:rPr>
          <w:rFonts w:ascii="Calibri" w:hAnsi="Calibri"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Jean-Pierre MARY</w:t>
      </w:r>
    </w:p>
    <w:p w14:paraId="2F927C8C" w14:textId="77777777" w:rsidR="006D5C06" w:rsidRDefault="00000000">
      <w:pPr>
        <w:pStyle w:val="Paragraphedeliste"/>
        <w:numPr>
          <w:ilvl w:val="0"/>
          <w:numId w:val="3"/>
        </w:numPr>
        <w:rPr>
          <w:rFonts w:ascii="Calibri" w:hAnsi="Calibri"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Lilian Tronche </w:t>
      </w:r>
    </w:p>
    <w:p w14:paraId="7E0BF51F" w14:textId="01E1E1C0" w:rsidR="006D5C06" w:rsidRPr="00E2312C" w:rsidRDefault="00000000" w:rsidP="00E2312C">
      <w:pPr>
        <w:pStyle w:val="Titre1"/>
        <w:numPr>
          <w:ilvl w:val="0"/>
          <w:numId w:val="2"/>
        </w:numPr>
        <w:rPr>
          <w:rFonts w:ascii="Calibri" w:hAnsi="Calibri" w:cstheme="majorHAnsi"/>
          <w:color w:val="2E74B5"/>
          <w:sz w:val="24"/>
          <w:szCs w:val="24"/>
        </w:rPr>
      </w:pPr>
      <w:r>
        <w:rPr>
          <w:rFonts w:ascii="Calibri" w:hAnsi="Calibri" w:cstheme="majorHAnsi"/>
          <w:color w:val="2E74B5"/>
          <w:sz w:val="24"/>
          <w:szCs w:val="24"/>
        </w:rPr>
        <w:t xml:space="preserve">Jeu autour de l’énergie  </w:t>
      </w:r>
    </w:p>
    <w:p w14:paraId="2BC7984E" w14:textId="77777777" w:rsidR="006D5C06" w:rsidRDefault="00000000">
      <w:pPr>
        <w:pStyle w:val="Paragraphedeliste"/>
        <w:numPr>
          <w:ilvl w:val="0"/>
          <w:numId w:val="4"/>
        </w:numPr>
      </w:pPr>
      <w:r>
        <w:t>Réunion des élèves en cercle autour d’un des animateurs. Animation et jeu.</w:t>
      </w:r>
    </w:p>
    <w:p w14:paraId="232AAD7F" w14:textId="77777777" w:rsidR="006D5C06" w:rsidRDefault="00000000">
      <w:pPr>
        <w:pStyle w:val="Paragraphedeliste"/>
        <w:numPr>
          <w:ilvl w:val="0"/>
          <w:numId w:val="4"/>
        </w:numPr>
      </w:pPr>
      <w:r>
        <w:t>Regroupement 2 par 2.</w:t>
      </w:r>
    </w:p>
    <w:p w14:paraId="374EADB7" w14:textId="77777777" w:rsidR="006D5C06" w:rsidRDefault="00000000">
      <w:pPr>
        <w:pStyle w:val="Paragraphedeliste"/>
        <w:numPr>
          <w:ilvl w:val="0"/>
          <w:numId w:val="4"/>
        </w:numPr>
      </w:pPr>
      <w:r>
        <w:t>Mise en place au centre du cercle des cartes de jeu (une douzaine).</w:t>
      </w:r>
    </w:p>
    <w:p w14:paraId="606B1162" w14:textId="77777777" w:rsidR="006D5C06" w:rsidRDefault="00000000">
      <w:pPr>
        <w:pStyle w:val="Paragraphedeliste"/>
        <w:numPr>
          <w:ilvl w:val="0"/>
          <w:numId w:val="4"/>
        </w:numPr>
      </w:pPr>
      <w:r>
        <w:t xml:space="preserve">Chaque binôme tire une carte comportant un thème. </w:t>
      </w:r>
    </w:p>
    <w:p w14:paraId="0686B685" w14:textId="77777777" w:rsidR="006D5C06" w:rsidRDefault="00000000">
      <w:pPr>
        <w:pStyle w:val="Paragraphedeliste"/>
        <w:numPr>
          <w:ilvl w:val="0"/>
          <w:numId w:val="4"/>
        </w:numPr>
      </w:pPr>
      <w:r>
        <w:t>Chaque groupe commente sa carte (2 à 3 minutes) et le thème est ensuite abordé par l’un des animateurs (5 à 6 minutes).</w:t>
      </w:r>
    </w:p>
    <w:p w14:paraId="7914BE97" w14:textId="77777777" w:rsidR="006D5C06" w:rsidRDefault="00000000">
      <w:pPr>
        <w:pStyle w:val="Paragraphedeliste"/>
        <w:numPr>
          <w:ilvl w:val="0"/>
          <w:numId w:val="4"/>
        </w:numPr>
      </w:pPr>
      <w:r>
        <w:t>Envisager la participation du collégien référent (éco-délégué) ou du chef de classe pour le valoriser auprès de ses camarades. Il noterait l’intervention de chaque binôme sur le sujet qui a été choisi. En fin d’animation remettre au binôme le plus méritant un petit cadeau.</w:t>
      </w:r>
    </w:p>
    <w:p w14:paraId="63C66428" w14:textId="629EBB70" w:rsidR="006D5C06" w:rsidRDefault="00000000" w:rsidP="00E2312C">
      <w:pPr>
        <w:pStyle w:val="Titre1"/>
        <w:spacing w:before="0" w:after="160"/>
        <w:contextualSpacing/>
        <w:rPr>
          <w:rFonts w:ascii="Calibri" w:hAnsi="Calibri" w:cstheme="majorHAnsi"/>
          <w:color w:val="2E74B5"/>
          <w:sz w:val="24"/>
          <w:szCs w:val="24"/>
        </w:rPr>
      </w:pPr>
      <w:r>
        <w:rPr>
          <w:rFonts w:ascii="Calibri" w:hAnsi="Calibri" w:cstheme="majorHAnsi"/>
          <w:color w:val="2E74B5"/>
          <w:sz w:val="24"/>
          <w:szCs w:val="24"/>
        </w:rPr>
        <w:t>2.   Avantages  de la formule.</w:t>
      </w:r>
    </w:p>
    <w:p w14:paraId="4CFD4F10" w14:textId="77777777" w:rsidR="006D5C06" w:rsidRDefault="00000000">
      <w:pPr>
        <w:pStyle w:val="Titre1"/>
        <w:numPr>
          <w:ilvl w:val="0"/>
          <w:numId w:val="5"/>
        </w:numPr>
        <w:spacing w:before="0" w:after="160" w:line="240" w:lineRule="auto"/>
        <w:ind w:left="0" w:firstLine="0"/>
        <w:contextualSpacing/>
      </w:pPr>
      <w:r>
        <w:rPr>
          <w:rFonts w:cstheme="majorHAnsi"/>
          <w:color w:val="002848"/>
          <w:sz w:val="24"/>
          <w:szCs w:val="24"/>
        </w:rPr>
        <w:t>-      Peut libérer la parole des enfants (liberté de s’exprimer, réaction de certains aux dires de leurs copains).</w:t>
      </w:r>
    </w:p>
    <w:p w14:paraId="2CCEEE4F" w14:textId="0CDEE825" w:rsidR="006D5C06" w:rsidRDefault="00000000">
      <w:pPr>
        <w:pStyle w:val="Titre1"/>
        <w:numPr>
          <w:ilvl w:val="0"/>
          <w:numId w:val="5"/>
        </w:numPr>
        <w:spacing w:before="0" w:after="160" w:line="240" w:lineRule="auto"/>
        <w:ind w:left="0" w:firstLine="0"/>
        <w:contextualSpacing/>
      </w:pPr>
      <w:r>
        <w:rPr>
          <w:rFonts w:cstheme="majorHAnsi"/>
          <w:color w:val="002848"/>
          <w:sz w:val="24"/>
          <w:szCs w:val="24"/>
        </w:rPr>
        <w:t>-       Souplesse de gestion de la durée de l’intervention (nous gardons + ou - de thèmes en fonction du nombre de collégiens ou de la rapidité des réponses que nous apportons).</w:t>
      </w:r>
    </w:p>
    <w:p w14:paraId="199909D8" w14:textId="77777777" w:rsidR="006D5C06" w:rsidRDefault="00000000">
      <w:pPr>
        <w:pStyle w:val="Titre1"/>
        <w:numPr>
          <w:ilvl w:val="0"/>
          <w:numId w:val="5"/>
        </w:numPr>
        <w:spacing w:before="0" w:after="160" w:line="240" w:lineRule="auto"/>
        <w:ind w:left="0" w:firstLine="0"/>
        <w:contextualSpacing/>
      </w:pPr>
      <w:r>
        <w:rPr>
          <w:rFonts w:cstheme="majorHAnsi"/>
          <w:color w:val="002848"/>
          <w:sz w:val="24"/>
          <w:szCs w:val="24"/>
        </w:rPr>
        <w:t>-      Rythme de la réunion (les interventions sont courtes sur chaque sujet).</w:t>
      </w:r>
    </w:p>
    <w:p w14:paraId="3089906A" w14:textId="3558DF5B" w:rsidR="00E2312C" w:rsidRDefault="00000000" w:rsidP="00E2312C">
      <w:pPr>
        <w:pStyle w:val="Titre1"/>
        <w:numPr>
          <w:ilvl w:val="0"/>
          <w:numId w:val="5"/>
        </w:numPr>
        <w:spacing w:before="0" w:after="160" w:line="240" w:lineRule="auto"/>
        <w:ind w:left="0" w:firstLine="0"/>
        <w:contextualSpacing/>
        <w:rPr>
          <w:rFonts w:cstheme="majorHAnsi"/>
          <w:color w:val="002848"/>
          <w:sz w:val="24"/>
          <w:szCs w:val="24"/>
        </w:rPr>
      </w:pPr>
      <w:bookmarkStart w:id="0" w:name="_Hlk213429922"/>
      <w:r>
        <w:rPr>
          <w:rFonts w:cstheme="majorHAnsi"/>
          <w:color w:val="002848"/>
          <w:sz w:val="24"/>
          <w:szCs w:val="24"/>
        </w:rPr>
        <w:t xml:space="preserve">-      Nos réponses sont préparées, diverses (présentation visuelle, texte lu, chanson </w:t>
      </w:r>
      <w:bookmarkEnd w:id="0"/>
      <w:r>
        <w:rPr>
          <w:rFonts w:cstheme="majorHAnsi"/>
          <w:color w:val="002848"/>
          <w:sz w:val="24"/>
          <w:szCs w:val="24"/>
        </w:rPr>
        <w:t>écoutée,...) et pourront  être différenciées suivant le niveau de classe des enfants (à faire par ICEA).</w:t>
      </w:r>
    </w:p>
    <w:p w14:paraId="3C0B79BF" w14:textId="4B5AB2B6" w:rsidR="00E608BD" w:rsidRPr="00E608BD" w:rsidRDefault="00E608BD" w:rsidP="00E608BD">
      <w:pPr>
        <w:pStyle w:val="Paragraphedeliste"/>
        <w:numPr>
          <w:ilvl w:val="0"/>
          <w:numId w:val="9"/>
        </w:numPr>
      </w:pPr>
      <w:r>
        <w:t>-      Cette version doit pouvoir être appliquée en face à face avec un jeune.</w:t>
      </w:r>
    </w:p>
    <w:p w14:paraId="78254519" w14:textId="77777777" w:rsidR="006D5C06" w:rsidRDefault="006D5C06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48D8CEA3" w14:textId="77777777" w:rsidR="006D5C06" w:rsidRDefault="00000000">
      <w:pPr>
        <w:contextualSpacing/>
      </w:pPr>
      <w:r>
        <w:rPr>
          <w:rFonts w:cstheme="majorHAnsi"/>
          <w:color w:val="2E74B5"/>
          <w:sz w:val="24"/>
          <w:szCs w:val="24"/>
        </w:rPr>
        <w:t>3.   Thèmes ou noms abordés : (5 à 6 minutes par thème).</w:t>
      </w:r>
    </w:p>
    <w:p w14:paraId="407C151D" w14:textId="77777777" w:rsidR="006D5C06" w:rsidRDefault="006D5C06">
      <w:pPr>
        <w:contextualSpacing/>
        <w:rPr>
          <w:rFonts w:cstheme="majorHAnsi"/>
          <w:color w:val="2E74B5"/>
          <w:sz w:val="24"/>
          <w:szCs w:val="24"/>
        </w:rPr>
      </w:pPr>
    </w:p>
    <w:p w14:paraId="7342C177" w14:textId="5C7AECA1" w:rsidR="006D5C06" w:rsidRDefault="00000000">
      <w:pPr>
        <w:contextualSpacing/>
        <w:rPr>
          <w:rFonts w:cstheme="majorHAnsi"/>
          <w:color w:val="002848"/>
          <w:sz w:val="24"/>
          <w:szCs w:val="24"/>
        </w:rPr>
      </w:pPr>
      <w:r>
        <w:rPr>
          <w:rFonts w:cs="Calibri Light"/>
          <w:color w:val="002848"/>
          <w:sz w:val="24"/>
          <w:szCs w:val="24"/>
        </w:rPr>
        <w:t xml:space="preserve">- 1 L’effet de serre     </w:t>
      </w:r>
      <w:r w:rsidR="00E608BD">
        <w:rPr>
          <w:rFonts w:cs="Calibri Light"/>
          <w:color w:val="002848"/>
          <w:sz w:val="24"/>
          <w:szCs w:val="24"/>
        </w:rPr>
        <w:t xml:space="preserve">                                                        - 1 bis Empreinte carbone</w:t>
      </w:r>
      <w:r>
        <w:rPr>
          <w:rFonts w:cs="Calibri Light"/>
          <w:color w:val="002848"/>
          <w:sz w:val="24"/>
          <w:szCs w:val="24"/>
        </w:rPr>
        <w:t xml:space="preserve">                                               </w:t>
      </w:r>
      <w:r>
        <w:rPr>
          <w:rFonts w:cstheme="majorHAnsi"/>
          <w:color w:val="002848"/>
          <w:sz w:val="24"/>
          <w:szCs w:val="24"/>
        </w:rPr>
        <w:t xml:space="preserve">          </w:t>
      </w:r>
    </w:p>
    <w:p w14:paraId="5CDE9814" w14:textId="403DDC07" w:rsidR="00E608BD" w:rsidRDefault="00E608BD">
      <w:pPr>
        <w:contextualSpacing/>
        <w:rPr>
          <w:color w:val="002848"/>
        </w:rPr>
      </w:pPr>
      <w:r w:rsidRPr="00E608BD">
        <w:rPr>
          <w:color w:val="002848"/>
          <w:sz w:val="24"/>
          <w:szCs w:val="24"/>
        </w:rPr>
        <w:t xml:space="preserve">- 2 Biodiversité </w:t>
      </w:r>
      <w:r w:rsidRPr="00E608BD">
        <w:rPr>
          <w:color w:val="002848"/>
          <w:sz w:val="24"/>
          <w:szCs w:val="24"/>
        </w:rPr>
        <w:t xml:space="preserve">                                                             </w:t>
      </w:r>
      <w:r>
        <w:rPr>
          <w:color w:val="002848"/>
          <w:sz w:val="24"/>
          <w:szCs w:val="24"/>
        </w:rPr>
        <w:t xml:space="preserve"> </w:t>
      </w:r>
      <w:r w:rsidRPr="00E608BD">
        <w:rPr>
          <w:color w:val="002848"/>
          <w:sz w:val="24"/>
          <w:szCs w:val="24"/>
        </w:rPr>
        <w:t xml:space="preserve">    </w:t>
      </w:r>
      <w:r w:rsidRPr="00E608BD">
        <w:rPr>
          <w:color w:val="002848"/>
        </w:rPr>
        <w:t xml:space="preserve">- </w:t>
      </w:r>
      <w:r w:rsidRPr="00E608BD">
        <w:rPr>
          <w:color w:val="002848"/>
          <w:sz w:val="24"/>
          <w:szCs w:val="24"/>
        </w:rPr>
        <w:t>3 Biodiversité 2 (les causes)</w:t>
      </w:r>
      <w:r w:rsidRPr="00E608BD">
        <w:rPr>
          <w:color w:val="002848"/>
        </w:rPr>
        <w:t xml:space="preserve">                 </w:t>
      </w:r>
      <w:r>
        <w:rPr>
          <w:color w:val="002848"/>
        </w:rPr>
        <w:t xml:space="preserve">      </w:t>
      </w:r>
    </w:p>
    <w:p w14:paraId="4C3D8774" w14:textId="2C5901B4" w:rsidR="006D5C06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- 4 </w:t>
      </w:r>
      <w:r w:rsidR="00E608BD">
        <w:rPr>
          <w:rFonts w:cstheme="majorHAnsi"/>
          <w:color w:val="002848"/>
          <w:sz w:val="24"/>
          <w:szCs w:val="24"/>
        </w:rPr>
        <w:t>L’E</w:t>
      </w:r>
      <w:r>
        <w:rPr>
          <w:rFonts w:cstheme="majorHAnsi"/>
          <w:color w:val="002848"/>
          <w:sz w:val="24"/>
          <w:szCs w:val="24"/>
        </w:rPr>
        <w:t>nergie en général</w:t>
      </w:r>
      <w:r>
        <w:rPr>
          <w:rFonts w:cs="Calibri Light"/>
          <w:color w:val="002848"/>
          <w:sz w:val="24"/>
          <w:szCs w:val="24"/>
        </w:rPr>
        <w:t xml:space="preserve">   </w:t>
      </w:r>
      <w:r w:rsidR="00E608BD">
        <w:rPr>
          <w:rFonts w:cs="Calibri Light"/>
          <w:color w:val="002848"/>
          <w:sz w:val="24"/>
          <w:szCs w:val="24"/>
        </w:rPr>
        <w:t xml:space="preserve">                                                 </w:t>
      </w:r>
      <w:r w:rsidR="00E608BD" w:rsidRPr="00E608BD">
        <w:rPr>
          <w:rFonts w:cs="Calibri Light"/>
          <w:color w:val="002848"/>
          <w:sz w:val="24"/>
          <w:szCs w:val="24"/>
        </w:rPr>
        <w:t xml:space="preserve">- 5 Energies fossiles                                                             </w:t>
      </w:r>
      <w:r w:rsidR="00E608BD">
        <w:rPr>
          <w:rFonts w:cs="Calibri Light"/>
          <w:color w:val="002848"/>
          <w:sz w:val="24"/>
          <w:szCs w:val="24"/>
        </w:rPr>
        <w:t xml:space="preserve">                </w:t>
      </w:r>
      <w:r w:rsidR="00E608BD">
        <w:rPr>
          <w:rFonts w:cstheme="majorHAnsi"/>
          <w:color w:val="002848"/>
          <w:sz w:val="24"/>
          <w:szCs w:val="24"/>
        </w:rPr>
        <w:t xml:space="preserve">  </w:t>
      </w:r>
      <w:r w:rsidR="00E608BD">
        <w:rPr>
          <w:rFonts w:cstheme="majorHAnsi"/>
          <w:color w:val="002848"/>
          <w:sz w:val="24"/>
          <w:szCs w:val="24"/>
        </w:rPr>
        <w:t xml:space="preserve">- 6 L’énergie nucléaire                                                    </w:t>
      </w:r>
      <w:r w:rsidR="00E608BD">
        <w:rPr>
          <w:rFonts w:cstheme="majorHAnsi"/>
          <w:color w:val="002848"/>
          <w:sz w:val="24"/>
          <w:szCs w:val="24"/>
        </w:rPr>
        <w:t xml:space="preserve">  </w:t>
      </w:r>
      <w:r>
        <w:rPr>
          <w:rFonts w:cstheme="majorHAnsi"/>
          <w:color w:val="002848"/>
          <w:sz w:val="24"/>
          <w:szCs w:val="24"/>
        </w:rPr>
        <w:t xml:space="preserve">- </w:t>
      </w:r>
      <w:r w:rsidR="00E608BD">
        <w:rPr>
          <w:rFonts w:cstheme="majorHAnsi"/>
          <w:color w:val="002848"/>
          <w:sz w:val="24"/>
          <w:szCs w:val="24"/>
        </w:rPr>
        <w:t>7</w:t>
      </w:r>
      <w:r>
        <w:rPr>
          <w:rFonts w:cstheme="majorHAnsi"/>
          <w:color w:val="002848"/>
          <w:sz w:val="24"/>
          <w:szCs w:val="24"/>
        </w:rPr>
        <w:t xml:space="preserve"> Les énergies renouvelables</w:t>
      </w:r>
    </w:p>
    <w:p w14:paraId="6F825BE2" w14:textId="730290E7" w:rsidR="006D5C06" w:rsidRDefault="00E608BD">
      <w:pPr>
        <w:contextualSpacing/>
        <w:rPr>
          <w:color w:val="002848"/>
        </w:rPr>
      </w:pPr>
      <w:r>
        <w:rPr>
          <w:rFonts w:cs="Calibri Light"/>
          <w:color w:val="002848"/>
          <w:sz w:val="24"/>
          <w:szCs w:val="24"/>
        </w:rPr>
        <w:t xml:space="preserve">- 8 Le solaire photovoltaïque                                          </w:t>
      </w:r>
      <w:bookmarkStart w:id="1" w:name="_Hlk213430347"/>
      <w:r>
        <w:rPr>
          <w:rFonts w:cs="Calibri Light"/>
          <w:color w:val="002848"/>
          <w:sz w:val="24"/>
          <w:szCs w:val="24"/>
        </w:rPr>
        <w:t xml:space="preserve"> </w:t>
      </w:r>
      <w:r w:rsidR="00000000">
        <w:rPr>
          <w:rFonts w:cs="Calibri Light"/>
          <w:color w:val="002848"/>
          <w:sz w:val="24"/>
          <w:szCs w:val="24"/>
        </w:rPr>
        <w:t xml:space="preserve">- </w:t>
      </w:r>
      <w:r>
        <w:rPr>
          <w:rFonts w:cs="Calibri Light"/>
          <w:color w:val="002848"/>
          <w:sz w:val="24"/>
          <w:szCs w:val="24"/>
        </w:rPr>
        <w:t>9</w:t>
      </w:r>
      <w:r w:rsidR="00000000">
        <w:rPr>
          <w:rFonts w:cs="Calibri Light"/>
          <w:color w:val="002848"/>
          <w:sz w:val="24"/>
          <w:szCs w:val="24"/>
        </w:rPr>
        <w:t xml:space="preserve"> Electricité </w:t>
      </w:r>
      <w:r w:rsidR="00000000">
        <w:rPr>
          <w:rFonts w:cstheme="majorHAnsi"/>
          <w:color w:val="002848"/>
          <w:sz w:val="24"/>
          <w:szCs w:val="24"/>
        </w:rPr>
        <w:t xml:space="preserve">                                                                                    </w:t>
      </w:r>
      <w:bookmarkEnd w:id="1"/>
    </w:p>
    <w:p w14:paraId="779E92E7" w14:textId="1976910C" w:rsidR="00B3129C" w:rsidRDefault="00000000">
      <w:pPr>
        <w:contextualSpacing/>
        <w:rPr>
          <w:rFonts w:cs="Calibri Light"/>
          <w:color w:val="002848"/>
          <w:sz w:val="24"/>
          <w:szCs w:val="24"/>
        </w:rPr>
      </w:pPr>
      <w:r>
        <w:rPr>
          <w:rFonts w:cstheme="majorHAnsi"/>
          <w:color w:val="002848"/>
          <w:sz w:val="24"/>
          <w:szCs w:val="24"/>
        </w:rPr>
        <w:t xml:space="preserve">- </w:t>
      </w:r>
      <w:r w:rsidR="00E608BD">
        <w:rPr>
          <w:rFonts w:cstheme="majorHAnsi"/>
          <w:color w:val="002848"/>
          <w:sz w:val="24"/>
          <w:szCs w:val="24"/>
        </w:rPr>
        <w:t>10</w:t>
      </w:r>
      <w:r>
        <w:rPr>
          <w:rFonts w:cstheme="majorHAnsi"/>
          <w:color w:val="002848"/>
          <w:sz w:val="24"/>
          <w:szCs w:val="24"/>
        </w:rPr>
        <w:t xml:space="preserve"> Le réchauffement climatique                                   </w:t>
      </w:r>
      <w:r>
        <w:rPr>
          <w:rFonts w:cs="Calibri Light"/>
          <w:color w:val="002848"/>
          <w:sz w:val="24"/>
          <w:szCs w:val="24"/>
        </w:rPr>
        <w:t>- 1</w:t>
      </w:r>
      <w:r w:rsidR="00B3129C">
        <w:rPr>
          <w:rFonts w:cs="Calibri Light"/>
          <w:color w:val="002848"/>
          <w:sz w:val="24"/>
          <w:szCs w:val="24"/>
        </w:rPr>
        <w:t>1</w:t>
      </w:r>
      <w:r>
        <w:rPr>
          <w:rFonts w:cs="Calibri Light"/>
          <w:color w:val="002848"/>
          <w:sz w:val="24"/>
          <w:szCs w:val="24"/>
        </w:rPr>
        <w:t xml:space="preserve"> L</w:t>
      </w:r>
      <w:r w:rsidR="00B3129C">
        <w:rPr>
          <w:rFonts w:cs="Calibri Light"/>
          <w:color w:val="002848"/>
          <w:sz w:val="24"/>
          <w:szCs w:val="24"/>
        </w:rPr>
        <w:t>e jour du dépassement</w:t>
      </w:r>
    </w:p>
    <w:p w14:paraId="57255703" w14:textId="28CDD717" w:rsidR="00B3129C" w:rsidRDefault="00B3129C">
      <w:pPr>
        <w:contextualSpacing/>
        <w:rPr>
          <w:rFonts w:cs="Calibri Light"/>
          <w:color w:val="002848"/>
          <w:sz w:val="24"/>
          <w:szCs w:val="24"/>
        </w:rPr>
      </w:pPr>
      <w:r>
        <w:rPr>
          <w:rFonts w:cs="Calibri Light"/>
          <w:color w:val="002848"/>
          <w:sz w:val="24"/>
          <w:szCs w:val="24"/>
        </w:rPr>
        <w:t>- 12 Les objectifs de développement durable</w:t>
      </w:r>
    </w:p>
    <w:p w14:paraId="283BFF06" w14:textId="0B85126D" w:rsidR="006D5C06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>- 1</w:t>
      </w:r>
      <w:r w:rsidR="00B3129C">
        <w:rPr>
          <w:rFonts w:cstheme="majorHAnsi"/>
          <w:color w:val="002848"/>
          <w:sz w:val="24"/>
          <w:szCs w:val="24"/>
        </w:rPr>
        <w:t>3</w:t>
      </w:r>
      <w:r>
        <w:rPr>
          <w:rFonts w:cstheme="majorHAnsi"/>
          <w:color w:val="002848"/>
          <w:sz w:val="24"/>
          <w:szCs w:val="24"/>
        </w:rPr>
        <w:t xml:space="preserve"> Comment faire par soi-même (présenter les petits actes personnels)</w:t>
      </w:r>
      <w:r w:rsidR="009E5770">
        <w:rPr>
          <w:rFonts w:cstheme="majorHAnsi"/>
          <w:color w:val="002848"/>
          <w:sz w:val="24"/>
          <w:szCs w:val="24"/>
        </w:rPr>
        <w:t> ?</w:t>
      </w:r>
    </w:p>
    <w:p w14:paraId="20B34054" w14:textId="77777777" w:rsidR="006D5C06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>- 14 Un carton blanc (= je ne souhaite pas jouer).</w:t>
      </w:r>
    </w:p>
    <w:p w14:paraId="17B7A45E" w14:textId="77777777" w:rsidR="006D5C06" w:rsidRDefault="006D5C06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012404D2" w14:textId="77777777" w:rsidR="006D5C06" w:rsidRDefault="006D5C06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07519238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777479B6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7F65874C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45C89722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28308370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722FB638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4748A0FD" w14:textId="77777777" w:rsidR="009E5770" w:rsidRDefault="009E5770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5DD9A502" w14:textId="77777777" w:rsidR="006D5C06" w:rsidRDefault="006D5C06">
      <w:pPr>
        <w:contextualSpacing/>
        <w:rPr>
          <w:rFonts w:ascii="Calibri" w:hAnsi="Calibri" w:cstheme="majorHAnsi"/>
          <w:color w:val="2E74B5"/>
          <w:sz w:val="24"/>
          <w:szCs w:val="24"/>
        </w:rPr>
      </w:pPr>
    </w:p>
    <w:p w14:paraId="019C2AD4" w14:textId="761771AC" w:rsidR="006D5C06" w:rsidRDefault="00000000">
      <w:pPr>
        <w:contextualSpacing/>
      </w:pPr>
      <w:r>
        <w:rPr>
          <w:rFonts w:cstheme="majorHAnsi"/>
          <w:color w:val="2E74B5"/>
          <w:sz w:val="24"/>
          <w:szCs w:val="24"/>
        </w:rPr>
        <w:t>4. Conclusion rapide de l’animation (5 minutes) :</w:t>
      </w:r>
    </w:p>
    <w:p w14:paraId="5F23B193" w14:textId="77777777" w:rsidR="006D5C06" w:rsidRDefault="006D5C06">
      <w:pPr>
        <w:contextualSpacing/>
        <w:rPr>
          <w:rFonts w:cstheme="majorHAnsi"/>
          <w:color w:val="2E74B5"/>
          <w:sz w:val="24"/>
          <w:szCs w:val="24"/>
        </w:rPr>
      </w:pPr>
    </w:p>
    <w:p w14:paraId="40D7D247" w14:textId="0C7EFAD4" w:rsidR="006D5C06" w:rsidRDefault="00000000">
      <w:pPr>
        <w:contextualSpacing/>
        <w:rPr>
          <w:rFonts w:ascii="Calibri" w:hAnsi="Calibri"/>
          <w:sz w:val="24"/>
          <w:szCs w:val="24"/>
        </w:rPr>
      </w:pPr>
      <w:r>
        <w:rPr>
          <w:rFonts w:cs="Arial"/>
          <w:color w:val="002848"/>
          <w:sz w:val="24"/>
          <w:szCs w:val="24"/>
        </w:rPr>
        <w:t>L’énergie est partout dans notre vie.</w:t>
      </w:r>
      <w:r w:rsidR="009E5770">
        <w:rPr>
          <w:rFonts w:ascii="Calibri" w:hAnsi="Calibri"/>
          <w:sz w:val="24"/>
          <w:szCs w:val="24"/>
        </w:rPr>
        <w:t xml:space="preserve"> </w:t>
      </w:r>
      <w:r>
        <w:rPr>
          <w:rFonts w:cs="Arial"/>
          <w:color w:val="002848"/>
          <w:sz w:val="24"/>
          <w:szCs w:val="24"/>
        </w:rPr>
        <w:t>Aujourd’hui encore trop carbonée ; c’est donc le défi que nous devons relever tous ensemble.</w:t>
      </w:r>
    </w:p>
    <w:p w14:paraId="32AAD439" w14:textId="7E695EDE" w:rsidR="006D5C06" w:rsidRDefault="00000000">
      <w:pPr>
        <w:contextualSpacing/>
        <w:rPr>
          <w:rFonts w:ascii="Calibri" w:hAnsi="Calibri"/>
          <w:sz w:val="24"/>
          <w:szCs w:val="24"/>
        </w:rPr>
      </w:pPr>
      <w:r>
        <w:rPr>
          <w:rFonts w:cs="Arial"/>
          <w:color w:val="002848"/>
          <w:sz w:val="24"/>
          <w:szCs w:val="24"/>
        </w:rPr>
        <w:t xml:space="preserve">L’avenir dépend de la transition vers des énergies faiblement émettrices de GES et réversibles (cad non génératrices de déchets). </w:t>
      </w:r>
    </w:p>
    <w:p w14:paraId="5E9C4DCC" w14:textId="77777777" w:rsidR="006D5C06" w:rsidRDefault="006D5C06">
      <w:pPr>
        <w:contextualSpacing/>
        <w:rPr>
          <w:rFonts w:ascii="Calibri" w:hAnsi="Calibri"/>
          <w:sz w:val="24"/>
          <w:szCs w:val="24"/>
        </w:rPr>
      </w:pPr>
    </w:p>
    <w:p w14:paraId="2D6162B4" w14:textId="77777777" w:rsidR="006D5C06" w:rsidRDefault="00000000">
      <w:pPr>
        <w:pStyle w:val="Titre1"/>
        <w:spacing w:before="0" w:after="160"/>
        <w:contextualSpacing/>
        <w:rPr>
          <w:rFonts w:ascii="Calibri" w:hAnsi="Calibri" w:cstheme="majorHAnsi"/>
          <w:color w:val="2E74B5"/>
          <w:sz w:val="24"/>
          <w:szCs w:val="24"/>
        </w:rPr>
      </w:pPr>
      <w:r>
        <w:rPr>
          <w:rFonts w:ascii="Calibri" w:hAnsi="Calibri" w:cstheme="majorHAnsi"/>
          <w:color w:val="2E74B5"/>
          <w:sz w:val="24"/>
          <w:szCs w:val="24"/>
        </w:rPr>
        <w:t>5.   Matériel à disposition :</w:t>
      </w:r>
    </w:p>
    <w:p w14:paraId="0C1453D5" w14:textId="3EDEB9FC" w:rsidR="006D5C06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          </w:t>
      </w:r>
      <w:r w:rsidR="00B3129C">
        <w:rPr>
          <w:rFonts w:cstheme="majorHAnsi"/>
          <w:color w:val="002848"/>
          <w:sz w:val="24"/>
          <w:szCs w:val="24"/>
        </w:rPr>
        <w:t>14</w:t>
      </w:r>
      <w:r>
        <w:rPr>
          <w:rFonts w:cstheme="majorHAnsi"/>
          <w:color w:val="002848"/>
          <w:sz w:val="24"/>
          <w:szCs w:val="24"/>
        </w:rPr>
        <w:t xml:space="preserve"> cartes action plastifiée</w:t>
      </w:r>
      <w:r w:rsidR="00E2312C">
        <w:rPr>
          <w:rFonts w:cstheme="majorHAnsi"/>
          <w:color w:val="002848"/>
          <w:sz w:val="24"/>
          <w:szCs w:val="24"/>
        </w:rPr>
        <w:t>, ou fiches de jeu</w:t>
      </w:r>
      <w:r>
        <w:rPr>
          <w:rFonts w:cstheme="majorHAnsi"/>
          <w:color w:val="002848"/>
          <w:sz w:val="24"/>
          <w:szCs w:val="24"/>
        </w:rPr>
        <w:t xml:space="preserve"> (format 1/2 A4) concernant les thèmes discutés. Au dos, une pastille numérotée. Exemple, le n°1</w:t>
      </w:r>
    </w:p>
    <w:p w14:paraId="1E9C5519" w14:textId="59B94AF1" w:rsidR="00E2312C" w:rsidRDefault="00000000">
      <w:pPr>
        <w:contextualSpacing/>
        <w:rPr>
          <w:rFonts w:cstheme="majorHAnsi"/>
          <w:color w:val="002848"/>
          <w:sz w:val="24"/>
          <w:szCs w:val="24"/>
        </w:rPr>
      </w:pPr>
      <w:r>
        <w:rPr>
          <w:rFonts w:cstheme="majorHAnsi"/>
          <w:color w:val="002848"/>
          <w:sz w:val="24"/>
          <w:szCs w:val="24"/>
        </w:rPr>
        <w:t xml:space="preserve">-            X fiches plastifiées (format A4) de synthèse </w:t>
      </w:r>
      <w:r w:rsidR="00E2312C">
        <w:rPr>
          <w:rFonts w:cstheme="majorHAnsi"/>
          <w:color w:val="002848"/>
          <w:sz w:val="24"/>
          <w:szCs w:val="24"/>
        </w:rPr>
        <w:t>permettant de visualiser</w:t>
      </w:r>
      <w:r>
        <w:rPr>
          <w:rFonts w:cstheme="majorHAnsi"/>
          <w:color w:val="002848"/>
          <w:sz w:val="24"/>
          <w:szCs w:val="24"/>
        </w:rPr>
        <w:t xml:space="preserve"> chaque thème abordé. Au dos, une pastille reprenant le numéro de la fiche de jeu. </w:t>
      </w:r>
    </w:p>
    <w:p w14:paraId="0549A644" w14:textId="366D4173" w:rsidR="006D5C06" w:rsidRDefault="00000000">
      <w:pPr>
        <w:contextualSpacing/>
        <w:rPr>
          <w:color w:val="002848"/>
        </w:rPr>
      </w:pPr>
      <w:r>
        <w:rPr>
          <w:rFonts w:cstheme="majorHAnsi"/>
          <w:color w:val="002848"/>
          <w:sz w:val="24"/>
          <w:szCs w:val="24"/>
        </w:rPr>
        <w:t xml:space="preserve">-           </w:t>
      </w:r>
      <w:r w:rsidR="00B3129C">
        <w:rPr>
          <w:rFonts w:cstheme="majorHAnsi"/>
          <w:color w:val="002848"/>
          <w:sz w:val="24"/>
          <w:szCs w:val="24"/>
        </w:rPr>
        <w:t>14</w:t>
      </w:r>
      <w:r>
        <w:rPr>
          <w:rFonts w:cstheme="majorHAnsi"/>
          <w:color w:val="002848"/>
          <w:sz w:val="24"/>
          <w:szCs w:val="24"/>
        </w:rPr>
        <w:t xml:space="preserve"> feuilles papier de commentaire de l’animation</w:t>
      </w:r>
      <w:r w:rsidR="00E2312C">
        <w:rPr>
          <w:rFonts w:cstheme="majorHAnsi"/>
          <w:color w:val="002848"/>
          <w:sz w:val="24"/>
          <w:szCs w:val="24"/>
        </w:rPr>
        <w:t xml:space="preserve">, </w:t>
      </w:r>
      <w:r>
        <w:rPr>
          <w:rFonts w:cstheme="majorHAnsi"/>
          <w:color w:val="002848"/>
          <w:sz w:val="24"/>
          <w:szCs w:val="24"/>
        </w:rPr>
        <w:t>numérotée</w:t>
      </w:r>
      <w:r w:rsidR="00E2312C">
        <w:rPr>
          <w:rFonts w:cstheme="majorHAnsi"/>
          <w:color w:val="002848"/>
          <w:sz w:val="24"/>
          <w:szCs w:val="24"/>
        </w:rPr>
        <w:t>s</w:t>
      </w:r>
      <w:r>
        <w:rPr>
          <w:rFonts w:cstheme="majorHAnsi"/>
          <w:color w:val="002848"/>
          <w:sz w:val="24"/>
          <w:szCs w:val="24"/>
        </w:rPr>
        <w:t xml:space="preserve"> </w:t>
      </w:r>
      <w:r w:rsidR="00E2312C">
        <w:rPr>
          <w:rFonts w:cstheme="majorHAnsi"/>
          <w:color w:val="002848"/>
          <w:sz w:val="24"/>
          <w:szCs w:val="24"/>
        </w:rPr>
        <w:t xml:space="preserve"> comme la carte action. Chaque feuille de commentaire peut être divisée en 2 chapitres, un chapitre « COLLEGIENS », et un chapitre « TECHNIQUE » pour aller plus dans le détail et vers d’autres publics.</w:t>
      </w:r>
    </w:p>
    <w:p w14:paraId="757C4104" w14:textId="77777777" w:rsidR="006D5C06" w:rsidRDefault="006D5C06">
      <w:pPr>
        <w:contextualSpacing/>
        <w:rPr>
          <w:color w:val="002848"/>
        </w:rPr>
      </w:pPr>
    </w:p>
    <w:p w14:paraId="7A662D36" w14:textId="77777777" w:rsidR="00E2312C" w:rsidRDefault="00E2312C">
      <w:pPr>
        <w:contextualSpacing/>
        <w:rPr>
          <w:color w:val="002848"/>
        </w:rPr>
      </w:pPr>
    </w:p>
    <w:sectPr w:rsidR="00E2312C">
      <w:footerReference w:type="default" r:id="rId7"/>
      <w:headerReference w:type="first" r:id="rId8"/>
      <w:footerReference w:type="first" r:id="rId9"/>
      <w:pgSz w:w="11906" w:h="16838"/>
      <w:pgMar w:top="540" w:right="720" w:bottom="720" w:left="720" w:header="540" w:footer="261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2CD0D" w14:textId="77777777" w:rsidR="000D3DC8" w:rsidRDefault="000D3DC8">
      <w:pPr>
        <w:spacing w:after="0" w:line="240" w:lineRule="auto"/>
      </w:pPr>
      <w:r>
        <w:separator/>
      </w:r>
    </w:p>
  </w:endnote>
  <w:endnote w:type="continuationSeparator" w:id="0">
    <w:p w14:paraId="1BC5C906" w14:textId="77777777" w:rsidR="000D3DC8" w:rsidRDefault="000D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59527"/>
      <w:docPartObj>
        <w:docPartGallery w:val="Page Numbers (Bottom of Page)"/>
        <w:docPartUnique/>
      </w:docPartObj>
    </w:sdtPr>
    <w:sdtContent>
      <w:p w14:paraId="27E1FD78" w14:textId="77777777" w:rsidR="006D5C06" w:rsidRDefault="00000000">
        <w:pPr>
          <w:pStyle w:val="Pieddepag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23C5AFDC" w14:textId="77777777" w:rsidR="006D5C06" w:rsidRDefault="006D5C0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207172"/>
      <w:docPartObj>
        <w:docPartGallery w:val="Page Numbers (Bottom of Page)"/>
        <w:docPartUnique/>
      </w:docPartObj>
    </w:sdtPr>
    <w:sdtContent>
      <w:p w14:paraId="5E73324A" w14:textId="77777777" w:rsidR="006D5C06" w:rsidRDefault="00000000">
        <w:pPr>
          <w:pStyle w:val="Pieddepage"/>
          <w:jc w:val="center"/>
        </w:pPr>
      </w:p>
    </w:sdtContent>
  </w:sdt>
  <w:p w14:paraId="045D315B" w14:textId="77777777" w:rsidR="006D5C06" w:rsidRDefault="006D5C06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028DB" w14:textId="77777777" w:rsidR="000D3DC8" w:rsidRDefault="000D3DC8">
      <w:pPr>
        <w:spacing w:after="0" w:line="240" w:lineRule="auto"/>
      </w:pPr>
      <w:r>
        <w:separator/>
      </w:r>
    </w:p>
  </w:footnote>
  <w:footnote w:type="continuationSeparator" w:id="0">
    <w:p w14:paraId="6D5BA2D1" w14:textId="77777777" w:rsidR="000D3DC8" w:rsidRDefault="000D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914A" w14:textId="77777777" w:rsidR="006D5C06" w:rsidRDefault="00000000">
    <w:pPr>
      <w:pStyle w:val="En-tte"/>
      <w:ind w:left="4140" w:right="-1222"/>
      <w:rPr>
        <w:b/>
        <w:i/>
        <w:sz w:val="28"/>
        <w:szCs w:val="28"/>
      </w:rPr>
    </w:pPr>
    <w:r>
      <w:rPr>
        <w:noProof/>
      </w:rPr>
      <w:drawing>
        <wp:anchor distT="0" distB="0" distL="0" distR="0" simplePos="0" relativeHeight="2" behindDoc="1" locked="0" layoutInCell="0" allowOverlap="1" wp14:anchorId="3F60E673" wp14:editId="0375A02C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DD2BC71" w14:textId="77777777" w:rsidR="006D5C06" w:rsidRDefault="00000000">
    <w:pPr>
      <w:pStyle w:val="En-tte"/>
      <w:ind w:left="4140" w:right="-1057"/>
    </w:pPr>
    <w:r>
      <w:rPr>
        <w:b/>
      </w:rPr>
      <w:t>Adresse de gestion :</w:t>
    </w:r>
    <w:r>
      <w:t xml:space="preserve"> 7 rue Hermès – 31520 Ramonville Saint-Agne</w:t>
    </w:r>
  </w:p>
  <w:p w14:paraId="48941EDB" w14:textId="77777777" w:rsidR="006D5C06" w:rsidRDefault="00000000">
    <w:pPr>
      <w:pStyle w:val="En-tte"/>
      <w:numPr>
        <w:ilvl w:val="0"/>
        <w:numId w:val="1"/>
      </w:numPr>
      <w:ind w:right="-1057"/>
    </w:pPr>
    <w:r>
      <w:t xml:space="preserve">Téléphone : 09 52 00 02 06 </w:t>
    </w:r>
  </w:p>
  <w:p w14:paraId="75708F4C" w14:textId="77777777" w:rsidR="006D5C06" w:rsidRDefault="00000000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A364B58" w14:textId="77777777" w:rsidR="006D5C06" w:rsidRDefault="00000000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0FF56F2D" w14:textId="77777777" w:rsidR="006D5C06" w:rsidRDefault="006D5C06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67A"/>
    <w:multiLevelType w:val="multilevel"/>
    <w:tmpl w:val="3AD0B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E725C6"/>
    <w:multiLevelType w:val="hybridMultilevel"/>
    <w:tmpl w:val="67D4CDF2"/>
    <w:lvl w:ilvl="0" w:tplc="8ED89E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40BF"/>
    <w:multiLevelType w:val="multilevel"/>
    <w:tmpl w:val="28B64558"/>
    <w:lvl w:ilvl="0"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FF37C6"/>
    <w:multiLevelType w:val="hybridMultilevel"/>
    <w:tmpl w:val="F7BCA2C4"/>
    <w:lvl w:ilvl="0" w:tplc="E468022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D1F2C"/>
    <w:multiLevelType w:val="multilevel"/>
    <w:tmpl w:val="3C3E93CE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F22C74"/>
    <w:multiLevelType w:val="hybridMultilevel"/>
    <w:tmpl w:val="637E47A4"/>
    <w:lvl w:ilvl="0" w:tplc="8440F7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B7003"/>
    <w:multiLevelType w:val="multilevel"/>
    <w:tmpl w:val="FF2498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2848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002848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color w:val="002848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color w:val="002848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color w:val="002848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color w:val="002848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color w:val="002848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color w:val="002848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color w:val="002848"/>
        <w:sz w:val="20"/>
        <w:szCs w:val="20"/>
      </w:rPr>
    </w:lvl>
  </w:abstractNum>
  <w:abstractNum w:abstractNumId="7" w15:restartNumberingAfterBreak="0">
    <w:nsid w:val="5B5054D0"/>
    <w:multiLevelType w:val="multilevel"/>
    <w:tmpl w:val="13EEEB7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1468B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715621297">
    <w:abstractNumId w:val="4"/>
  </w:num>
  <w:num w:numId="2" w16cid:durableId="501162695">
    <w:abstractNumId w:val="8"/>
  </w:num>
  <w:num w:numId="3" w16cid:durableId="1020472254">
    <w:abstractNumId w:val="7"/>
  </w:num>
  <w:num w:numId="4" w16cid:durableId="1545360926">
    <w:abstractNumId w:val="2"/>
  </w:num>
  <w:num w:numId="5" w16cid:durableId="466122527">
    <w:abstractNumId w:val="6"/>
  </w:num>
  <w:num w:numId="6" w16cid:durableId="290140183">
    <w:abstractNumId w:val="0"/>
  </w:num>
  <w:num w:numId="7" w16cid:durableId="2033215409">
    <w:abstractNumId w:val="5"/>
  </w:num>
  <w:num w:numId="8" w16cid:durableId="446898763">
    <w:abstractNumId w:val="1"/>
  </w:num>
  <w:num w:numId="9" w16cid:durableId="1918441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C06"/>
    <w:rsid w:val="000D3DC8"/>
    <w:rsid w:val="00482D8F"/>
    <w:rsid w:val="006D5C06"/>
    <w:rsid w:val="00832A00"/>
    <w:rsid w:val="009E5770"/>
    <w:rsid w:val="00B3129C"/>
    <w:rsid w:val="00C31F53"/>
    <w:rsid w:val="00D23A23"/>
    <w:rsid w:val="00E2312C"/>
    <w:rsid w:val="00E6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A2F5"/>
  <w15:docId w15:val="{9EE7B1FD-7746-41BC-AF27-4CA39ADC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B3D45"/>
    <w:rPr>
      <w:color w:val="605E5C"/>
      <w:shd w:val="clear" w:color="auto" w:fill="E1DFDD"/>
    </w:rPr>
  </w:style>
  <w:style w:type="character" w:customStyle="1" w:styleId="Caractresdenumrotation">
    <w:name w:val="Caractères de numérotation"/>
    <w:qFormat/>
    <w:rPr>
      <w:color w:val="002848"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Jean-Pierre MARY</cp:lastModifiedBy>
  <cp:revision>44</cp:revision>
  <cp:lastPrinted>2017-03-15T17:10:00Z</cp:lastPrinted>
  <dcterms:created xsi:type="dcterms:W3CDTF">2025-01-15T07:39:00Z</dcterms:created>
  <dcterms:modified xsi:type="dcterms:W3CDTF">2025-11-07T16:57:00Z</dcterms:modified>
  <dc:language>fr-FR</dc:language>
</cp:coreProperties>
</file>